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60" w:type="dxa"/>
              <w:start w:w="110" w:type="dxa"/>
              <w:bottom w:w="60" w:type="dxa"/>
              <w:end w:w="11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008B9A"/>
                <w:sz w:val="16"/>
              </w:rPr>
              <w:t>FERRAMENTA EDITÁVEL</w:t>
            </w:r>
          </w:p>
        </w:tc>
      </w:tr>
    </w:tbl>
    <w:p>
      <w:pPr>
        <w:spacing w:after="0"/>
      </w:pPr>
    </w:p>
    <w:p>
      <w:pPr>
        <w:pStyle w:val="Title"/>
        <w:spacing w:after="40"/>
      </w:pPr>
      <w:r>
        <w:t>PRÉ-ANÁLISE DOCUMENTAL</w:t>
      </w:r>
    </w:p>
    <w:p>
      <w:pPr>
        <w:pStyle w:val="KMGLead"/>
      </w:pPr>
      <w:r>
        <w:t>Checklist rápido para verificar se a base está pronta para iniciar</w:t>
      </w: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008B9A"/>
            </w:tcBorders>
          </w:tcPr>
          <w:p>
            <w:r>
              <w:rPr>
                <w:rFonts w:ascii="Arial" w:hAnsi="Arial"/>
                <w:b/>
                <w:color w:val="008B9A"/>
                <w:sz w:val="18"/>
              </w:rPr>
              <w:t>Objetivo</w:t>
              <w:br/>
            </w:r>
            <w:r>
              <w:rPr>
                <w:rFonts w:ascii="Arial" w:hAnsi="Arial"/>
                <w:color w:val="263746"/>
                <w:sz w:val="17"/>
              </w:rPr>
              <w:t>Identificar lacunas de organização, versão, origem e rastreabilidade antes da leitura técnica. Uma resposta negativa não impede a análise, mas deve gerar uma pendência registrada.</w:t>
            </w:r>
          </w:p>
        </w:tc>
      </w:tr>
    </w:tbl>
    <w:p>
      <w:pPr>
        <w:pStyle w:val="Heading1"/>
        <w:keepNext/>
      </w:pPr>
      <w:r>
        <w:t>Checklist - 10 critérios essenciais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595"/>
        <w:gridCol w:w="6660"/>
        <w:gridCol w:w="833"/>
        <w:gridCol w:w="833"/>
        <w:gridCol w:w="833"/>
      </w:tblGrid>
      <w:tr>
        <w:trPr>
          <w:tblHeader w:val="true"/>
          <w:cantSplit/>
        </w:trPr>
        <w:tc>
          <w:tcPr>
            <w:tcW w:type="dxa" w:w="595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ITEM</w:t>
            </w:r>
          </w:p>
        </w:tc>
        <w:tc>
          <w:tcPr>
            <w:tcW w:type="dxa" w:w="666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  <w:t>VERIFICAÇÃO</w:t>
            </w:r>
          </w:p>
        </w:tc>
        <w:tc>
          <w:tcPr>
            <w:tcW w:type="dxa" w:w="83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SIM</w:t>
            </w:r>
          </w:p>
        </w:tc>
        <w:tc>
          <w:tcPr>
            <w:tcW w:type="dxa" w:w="83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NÃO</w:t>
            </w:r>
          </w:p>
        </w:tc>
        <w:tc>
          <w:tcPr>
            <w:tcW w:type="dxa" w:w="83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1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Existe uma pasta única ou repositório definido para o caso?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2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Os arquivos possuem nomes claros e padronizados?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3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É possível identificar a versão mais recente de cada documento?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4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 origem e o responsável pelo envio estão registrados?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5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Documentos duplicados, obsoletos e rascunhos estão separados?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6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Os documentos essenciais esperados foram listados?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7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As ausências estão registradas com responsável, prazo e impacto?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8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Os arquivos originais foram preservados sem sobrescrita?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9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Fatos relevantes estão ligados a fontes identificáveis?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595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10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5"/>
              </w:rPr>
              <w:t>Existe um gate documentado para decidir o próximo passo?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  <w:tc>
          <w:tcPr>
            <w:tcW w:type="dxa" w:w="83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5"/>
              </w:rPr>
              <w:t>☐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008B9A"/>
            </w:tcBorders>
          </w:tcPr>
          <w:p>
            <w:r>
              <w:rPr>
                <w:rFonts w:ascii="Arial" w:hAnsi="Arial"/>
                <w:b/>
                <w:color w:val="008B9A"/>
                <w:sz w:val="18"/>
              </w:rPr>
              <w:t>Preenchimento mínimo</w:t>
              <w:br/>
            </w:r>
            <w:r>
              <w:rPr>
                <w:rFonts w:ascii="Arial" w:hAnsi="Arial"/>
                <w:color w:val="263746"/>
                <w:sz w:val="17"/>
              </w:rPr>
              <w:t>Marque uma opção por item. Quando a resposta for “Não”, registre a lacuna na página seguinte. Use “N/A” somente com justificativa.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Resultado rápido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3092"/>
        <w:gridCol w:w="6660"/>
      </w:tblGrid>
      <w:tr>
        <w:trPr>
          <w:tblHeader w:val="true"/>
          <w:cantSplit/>
        </w:trPr>
        <w:tc>
          <w:tcPr>
            <w:tcW w:type="dxa" w:w="3092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RESULTADO</w:t>
            </w:r>
          </w:p>
        </w:tc>
        <w:tc>
          <w:tcPr>
            <w:tcW w:type="dxa" w:w="6660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ORIENTAÇÃO</w:t>
            </w:r>
          </w:p>
        </w:tc>
      </w:tr>
      <w:tr>
        <w:trPr>
          <w:cantSplit/>
        </w:trPr>
        <w:tc>
          <w:tcPr>
            <w:tcW w:type="dxa" w:w="309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8 a 10 respostas “Sim”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Base organizada. Registre ressalvas remanescentes e confirme o gate.</w:t>
            </w:r>
          </w:p>
        </w:tc>
      </w:tr>
      <w:tr>
        <w:trPr>
          <w:cantSplit/>
        </w:trPr>
        <w:tc>
          <w:tcPr>
            <w:tcW w:type="dxa" w:w="309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5 a 7 respostas “Sim”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Base parcialmente organizada. Priorize as lacunas antes de concluir.</w:t>
            </w:r>
          </w:p>
        </w:tc>
      </w:tr>
      <w:tr>
        <w:trPr>
          <w:cantSplit/>
        </w:trPr>
        <w:tc>
          <w:tcPr>
            <w:tcW w:type="dxa" w:w="309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0 a 4 respostas “Sim”</w:t>
            </w:r>
          </w:p>
        </w:tc>
        <w:tc>
          <w:tcPr>
            <w:tcW w:type="dxa" w:w="6660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Risco elevado de retrabalho ou decisão com informação insuficiente.</w:t>
            </w:r>
          </w:p>
        </w:tc>
      </w:tr>
    </w:tbl>
    <w:p>
      <w:pPr>
        <w:pStyle w:val="Heading1"/>
        <w:keepNext/>
      </w:pPr>
      <w:r>
        <w:t>Registro simplificado de evidências e pendências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918"/>
        <w:gridCol w:w="2868"/>
        <w:gridCol w:w="1893"/>
        <w:gridCol w:w="2352"/>
        <w:gridCol w:w="1721"/>
      </w:tblGrid>
      <w:tr>
        <w:trPr>
          <w:tblHeader w:val="true"/>
          <w:cantSplit/>
        </w:trPr>
        <w:tc>
          <w:tcPr>
            <w:tcW w:type="dxa" w:w="91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2868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EVIDÊNCIA OU LACUNA</w:t>
            </w:r>
          </w:p>
        </w:tc>
        <w:tc>
          <w:tcPr>
            <w:tcW w:type="dxa" w:w="189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SITUAÇÃO / CONFIABILIDADE</w:t>
            </w:r>
          </w:p>
        </w:tc>
        <w:tc>
          <w:tcPr>
            <w:tcW w:type="dxa" w:w="2352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PRÓXIMA AÇÃO</w:t>
            </w:r>
          </w:p>
        </w:tc>
        <w:tc>
          <w:tcPr>
            <w:tcW w:type="dxa" w:w="1721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RESPONSÁVEL / PRAZO</w:t>
            </w:r>
          </w:p>
        </w:tc>
      </w:tr>
      <w:tr>
        <w:trPr>
          <w:cantSplit/>
        </w:trPr>
        <w:tc>
          <w:tcPr>
            <w:tcW w:type="dxa" w:w="91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EVID-01</w:t>
            </w:r>
          </w:p>
        </w:tc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9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5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2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91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EVID-02</w:t>
            </w:r>
          </w:p>
        </w:tc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9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5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2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91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EVID-03</w:t>
            </w:r>
          </w:p>
        </w:tc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9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5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2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  <w:tr>
        <w:trPr>
          <w:cantSplit/>
        </w:trPr>
        <w:tc>
          <w:tcPr>
            <w:tcW w:type="dxa" w:w="91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Arial" w:hAnsi="Arial"/>
                <w:b w:val="0"/>
                <w:color w:val="263746"/>
                <w:sz w:val="14"/>
              </w:rPr>
              <w:t>EVID-04</w:t>
            </w:r>
          </w:p>
        </w:tc>
        <w:tc>
          <w:tcPr>
            <w:tcW w:type="dxa" w:w="286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89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2352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  <w:tc>
          <w:tcPr>
            <w:tcW w:type="dxa" w:w="172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4"/>
              </w:rPr>
            </w:r>
          </w:p>
        </w:tc>
      </w:tr>
    </w:tbl>
    <w:p>
      <w:pPr>
        <w:pStyle w:val="Heading1"/>
        <w:keepNext/>
      </w:pPr>
      <w:r>
        <w:t>Gate de preenchimento</w:t>
      </w:r>
    </w:p>
    <w:tbl>
      <w:tblPr>
        <w:tblW w:type="dxa" w:w="9752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409"/>
        <w:gridCol w:w="7343"/>
      </w:tblGrid>
      <w:tr>
        <w:trPr>
          <w:tblHeader w:val="true"/>
          <w:cantSplit/>
        </w:trPr>
        <w:tc>
          <w:tcPr>
            <w:tcW w:type="dxa" w:w="2409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7343"/>
            <w:shd w:fill="123D6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5" w:color="B7C5CF"/>
              <w:left w:val="single" w:sz="5" w:color="B7C5CF"/>
              <w:bottom w:val="single" w:sz="5" w:color="B7C5CF"/>
              <w:right w:val="single" w:sz="5" w:color="B7C5CF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REGISTRO</w:t>
            </w:r>
          </w:p>
        </w:tc>
      </w:tr>
      <w:tr>
        <w:trPr>
          <w:cantSplit/>
        </w:trPr>
        <w:tc>
          <w:tcPr>
            <w:tcW w:type="dxa" w:w="240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Situação</w:t>
            </w:r>
          </w:p>
        </w:tc>
        <w:tc>
          <w:tcPr>
            <w:tcW w:type="dxa" w:w="73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☐ Completo   ☐ Completo com pendências   ☐ Incompleto</w:t>
            </w:r>
          </w:p>
        </w:tc>
      </w:tr>
      <w:tr>
        <w:trPr>
          <w:cantSplit/>
        </w:trPr>
        <w:tc>
          <w:tcPr>
            <w:tcW w:type="dxa" w:w="240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Decisão</w:t>
            </w:r>
          </w:p>
        </w:tc>
        <w:tc>
          <w:tcPr>
            <w:tcW w:type="dxa" w:w="73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☐ Avançar   ☐ Avançar com ressalvas   ☐ Complementar a base</w:t>
            </w:r>
          </w:p>
        </w:tc>
      </w:tr>
      <w:tr>
        <w:trPr>
          <w:cantSplit/>
        </w:trPr>
        <w:tc>
          <w:tcPr>
            <w:tcW w:type="dxa" w:w="240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Data / responsável</w:t>
            </w:r>
          </w:p>
        </w:tc>
        <w:tc>
          <w:tcPr>
            <w:tcW w:type="dxa" w:w="73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rPr>
          <w:cantSplit/>
        </w:trPr>
        <w:tc>
          <w:tcPr>
            <w:tcW w:type="dxa" w:w="240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  <w:t>Ressalvas</w:t>
            </w:r>
          </w:p>
        </w:tc>
        <w:tc>
          <w:tcPr>
            <w:tcW w:type="dxa" w:w="7343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F7FAFC"/>
            <w:tcBorders>
              <w:top w:val="single" w:sz="4" w:color="B7C5CF"/>
              <w:left w:val="single" w:sz="4" w:color="B7C5CF"/>
              <w:bottom w:val="single" w:sz="4" w:color="B7C5CF"/>
              <w:right w:val="single" w:sz="4" w:color="B7C5CF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E9F5F2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27825F"/>
            </w:tcBorders>
          </w:tcPr>
          <w:p>
            <w:r>
              <w:rPr>
                <w:rFonts w:ascii="Arial" w:hAnsi="Arial"/>
                <w:b/>
                <w:color w:val="27825F"/>
                <w:sz w:val="18"/>
              </w:rPr>
              <w:t>Proteção de dados</w:t>
              <w:br/>
            </w:r>
            <w:r>
              <w:rPr>
                <w:rFonts w:ascii="Arial" w:hAnsi="Arial"/>
                <w:color w:val="263746"/>
                <w:sz w:val="17"/>
              </w:rPr>
              <w:t>Registre somente informações necessárias. Quando possível, use função, setor ou código no lugar de nome completo. Restrinja o acesso ao documento e evite inserir dados sensíveis sem finalidade definida.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752"/>
      </w:tblGrid>
      <w:tr>
        <w:tc>
          <w:tcPr>
            <w:tcW w:type="dxa" w:w="9752"/>
            <w:shd w:fill="FFF7E1"/>
            <w:tcMar>
              <w:top w:w="90" w:type="dxa"/>
              <w:start w:w="120" w:type="dxa"/>
              <w:bottom w:w="90" w:type="dxa"/>
              <w:end w:w="120" w:type="dxa"/>
            </w:tcMar>
            <w:tcBorders>
              <w:left w:val="single" w:sz="18" w:color="C88D00"/>
            </w:tcBorders>
          </w:tcPr>
          <w:p>
            <w:r>
              <w:rPr>
                <w:rFonts w:ascii="Arial" w:hAnsi="Arial"/>
                <w:b/>
                <w:color w:val="C88D00"/>
                <w:sz w:val="18"/>
              </w:rPr>
              <w:t>Limite de uso</w:t>
              <w:br/>
            </w:r>
            <w:r>
              <w:rPr>
                <w:rFonts w:ascii="Arial" w:hAnsi="Arial"/>
                <w:color w:val="263746"/>
                <w:sz w:val="17"/>
              </w:rPr>
              <w:t>Material educacional e operacional. Não substitui análise técnica, jurídica, conferência normativa, contrato de escopo ou responsabilidade profissional.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935" w:bottom="907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7A"/>
        <w:sz w:val="14"/>
      </w:rPr>
      <w:t>GRF-001 | v3.2 | 05/08/2026 | Material técnico gratuito | CREA-SP 5060944646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D6D7A"/>
        <w:sz w:val="15"/>
      </w:rPr>
      <w:t>KMG ENGINEERING INTELLIGENCE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26374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23D66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8B9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23D6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MGSmall">
    <w:name w:val="KMG Small"/>
    <w:pPr>
      <w:spacing w:after="40" w:line="240" w:lineRule="auto"/>
    </w:pPr>
    <w:rPr>
      <w:rFonts w:ascii="Arial" w:hAnsi="Arial"/>
      <w:color w:val="5D6D7A"/>
      <w:sz w:val="15"/>
    </w:rPr>
  </w:style>
  <w:style w:type="paragraph" w:customStyle="1" w:styleId="KMGLead">
    <w:name w:val="KMG Lead"/>
    <w:pPr>
      <w:spacing w:after="140" w:line="252" w:lineRule="auto"/>
    </w:pPr>
    <w:rPr>
      <w:rFonts w:ascii="Arial" w:hAnsi="Arial"/>
      <w:b/>
      <w:color w:val="008B9A"/>
      <w:sz w:val="20"/>
    </w:rPr>
  </w:style>
  <w:style w:type="paragraph" w:customStyle="1" w:styleId="KMGBullet">
    <w:name w:val="KMG Bullet"/>
    <w:pPr>
      <w:spacing w:after="40"/>
      <w:ind w:left="255" w:hanging="142"/>
    </w:pPr>
    <w:rPr>
      <w:rFonts w:ascii="Arial" w:hAnsi="Arial"/>
      <w:color w:val="2637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Pré-análise Documental</dc:title>
  <dc:subject>Checklist de prontidão e registro de pendências</dc:subject>
  <dc:creator>KMG Engineering Intelligence</dc:creator>
  <cp:keywords>KMG, GRF-001, organização documental, engenharia, segurança do trabalho</cp:keywords>
  <dc:description>Documento público da Biblioteca Técnica KMG.</dc:description>
  <cp:lastModifiedBy>KMG Engineering Intelligence</cp:lastModifiedBy>
  <cp:revision>1</cp:revision>
  <dcterms:created xsi:type="dcterms:W3CDTF">2026-08-05T12:00:00Z</dcterms:created>
  <dcterms:modified xsi:type="dcterms:W3CDTF">2026-08-05T12:00:00Z</dcterms:modified>
  <cp:category>Biblioteca Técnica KMG</cp:category>
</cp:coreProperties>
</file>