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60" w:type="dxa"/>
              <w:start w:w="110" w:type="dxa"/>
              <w:bottom w:w="6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008B9A"/>
                <w:sz w:val="16"/>
              </w:rPr>
              <w:t>FERRAMENTA EDITÁVEL</w:t>
            </w:r>
          </w:p>
        </w:tc>
      </w:tr>
    </w:tbl>
    <w:p>
      <w:pPr>
        <w:spacing w:after="0"/>
      </w:pPr>
    </w:p>
    <w:p>
      <w:pPr>
        <w:pStyle w:val="Title"/>
        <w:spacing w:after="40"/>
      </w:pPr>
      <w:r>
        <w:t>TRIAGEM DOCUMENTAL INICIAL</w:t>
      </w:r>
    </w:p>
    <w:p>
      <w:pPr>
        <w:pStyle w:val="KMGLead"/>
      </w:pPr>
      <w:r>
        <w:t>Registro mínimo para compreender a demanda antes de receber grandes volumes de arquivos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008B9A"/>
            </w:tcBorders>
          </w:tcPr>
          <w:p>
            <w:r>
              <w:rPr>
                <w:rFonts w:ascii="Arial" w:hAnsi="Arial"/>
                <w:b/>
                <w:color w:val="008B9A"/>
                <w:sz w:val="18"/>
              </w:rPr>
              <w:t>Como preencher</w:t>
              <w:br/>
            </w:r>
            <w:r>
              <w:rPr>
                <w:rFonts w:ascii="Arial" w:hAnsi="Arial"/>
                <w:color w:val="263746"/>
                <w:sz w:val="17"/>
              </w:rPr>
              <w:t>Campos marcados com * são necessários para o gate inicial. Use “não informado” quando a informação não estiver disponível e registre a pendência correspondente.</w:t>
            </w:r>
          </w:p>
        </w:tc>
      </w:tr>
    </w:tbl>
    <w:p>
      <w:pPr>
        <w:pStyle w:val="Heading1"/>
        <w:keepNext/>
      </w:pPr>
      <w:r>
        <w:t>1. Identificação da demanda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3557"/>
        <w:gridCol w:w="6196"/>
      </w:tblGrid>
      <w:tr>
        <w:trPr>
          <w:tblHeader w:val="true"/>
          <w:cantSplit/>
        </w:trPr>
        <w:tc>
          <w:tcPr>
            <w:tcW w:type="dxa" w:w="3557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196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PREENCHIMENTO</w:t>
            </w:r>
          </w:p>
        </w:tc>
      </w:tr>
      <w:tr>
        <w:trPr>
          <w:cantSplit/>
        </w:trPr>
        <w:tc>
          <w:tcPr>
            <w:tcW w:type="dxa" w:w="355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Título ou referência *</w:t>
            </w:r>
          </w:p>
        </w:tc>
        <w:tc>
          <w:tcPr>
            <w:tcW w:type="dxa" w:w="619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355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Solicitante / função de contato *</w:t>
            </w:r>
          </w:p>
        </w:tc>
        <w:tc>
          <w:tcPr>
            <w:tcW w:type="dxa" w:w="619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355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Área / organização</w:t>
            </w:r>
          </w:p>
        </w:tc>
        <w:tc>
          <w:tcPr>
            <w:tcW w:type="dxa" w:w="619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355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Data da solicitação *</w:t>
            </w:r>
          </w:p>
        </w:tc>
        <w:tc>
          <w:tcPr>
            <w:tcW w:type="dxa" w:w="619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355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Prazo relevante</w:t>
            </w:r>
          </w:p>
        </w:tc>
        <w:tc>
          <w:tcPr>
            <w:tcW w:type="dxa" w:w="619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355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Objetivo esperado *</w:t>
            </w:r>
          </w:p>
        </w:tc>
        <w:tc>
          <w:tcPr>
            <w:tcW w:type="dxa" w:w="619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27825F"/>
            </w:tcBorders>
          </w:tcPr>
          <w:p>
            <w:r>
              <w:rPr>
                <w:rFonts w:ascii="Arial" w:hAnsi="Arial"/>
                <w:b/>
                <w:color w:val="27825F"/>
                <w:sz w:val="18"/>
              </w:rPr>
              <w:t>Proteção de dados</w:t>
              <w:br/>
            </w:r>
            <w:r>
              <w:rPr>
                <w:rFonts w:ascii="Arial" w:hAnsi="Arial"/>
                <w:color w:val="263746"/>
                <w:sz w:val="17"/>
              </w:rPr>
              <w:t>Colete apenas dados necessários para a finalidade da triagem. Prefira função, setor ou código quando o nome completo não for indispensável. Não registre dados sensíveis sem necessidade e controle o acesso ao arquivo.</w:t>
            </w:r>
          </w:p>
        </w:tc>
      </w:tr>
    </w:tbl>
    <w:p>
      <w:pPr>
        <w:pStyle w:val="Heading1"/>
        <w:keepNext/>
      </w:pPr>
      <w:r>
        <w:t>2. Escopo inicial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5163"/>
        <w:gridCol w:w="4589"/>
      </w:tblGrid>
      <w:tr>
        <w:trPr>
          <w:tblHeader w:val="true"/>
          <w:cantSplit/>
        </w:trPr>
        <w:tc>
          <w:tcPr>
            <w:tcW w:type="dxa" w:w="516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PERGUNTA</w:t>
            </w:r>
          </w:p>
        </w:tc>
        <w:tc>
          <w:tcPr>
            <w:tcW w:type="dxa" w:w="4589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RESPOSTA</w:t>
            </w:r>
          </w:p>
        </w:tc>
      </w:tr>
      <w:tr>
        <w:trPr>
          <w:cantSplit/>
        </w:trPr>
        <w:tc>
          <w:tcPr>
            <w:tcW w:type="dxa" w:w="5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Qual é a principal questão técnica? *</w:t>
            </w:r>
          </w:p>
        </w:tc>
        <w:tc>
          <w:tcPr>
            <w:tcW w:type="dxa" w:w="45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5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Quais decisões dependerão da análise? *</w:t>
            </w:r>
          </w:p>
        </w:tc>
        <w:tc>
          <w:tcPr>
            <w:tcW w:type="dxa" w:w="45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5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Quais temas estão fora do escopo?</w:t>
            </w:r>
          </w:p>
        </w:tc>
        <w:tc>
          <w:tcPr>
            <w:tcW w:type="dxa" w:w="45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5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Há normas, contratos ou critérios específicos?</w:t>
            </w:r>
          </w:p>
        </w:tc>
        <w:tc>
          <w:tcPr>
            <w:tcW w:type="dxa" w:w="45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5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Existe risco de prazo, acesso ou perda de informação?</w:t>
            </w:r>
          </w:p>
        </w:tc>
        <w:tc>
          <w:tcPr>
            <w:tcW w:type="dxa" w:w="45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Documentos recebidos e esperados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885"/>
        <w:gridCol w:w="1270"/>
        <w:gridCol w:w="1327"/>
        <w:gridCol w:w="1962"/>
        <w:gridCol w:w="2308"/>
      </w:tblGrid>
      <w:tr>
        <w:trPr>
          <w:tblHeader w:val="true"/>
          <w:cantSplit/>
        </w:trPr>
        <w:tc>
          <w:tcPr>
            <w:tcW w:type="dxa" w:w="288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DOCUMENTO / GRUPO</w:t>
            </w:r>
          </w:p>
        </w:tc>
        <w:tc>
          <w:tcPr>
            <w:tcW w:type="dxa" w:w="1270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RECEBIDO?</w:t>
            </w:r>
          </w:p>
        </w:tc>
        <w:tc>
          <w:tcPr>
            <w:tcW w:type="dxa" w:w="1327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VERSÃO</w:t>
            </w:r>
          </w:p>
        </w:tc>
        <w:tc>
          <w:tcPr>
            <w:tcW w:type="dxa" w:w="1962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ORIGEM</w:t>
            </w:r>
          </w:p>
        </w:tc>
        <w:tc>
          <w:tcPr>
            <w:tcW w:type="dxa" w:w="2308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OBSERVAÇÃO</w:t>
            </w:r>
          </w:p>
        </w:tc>
      </w:tr>
      <w:tr>
        <w:trPr>
          <w:cantSplit/>
        </w:trPr>
        <w:tc>
          <w:tcPr>
            <w:tcW w:type="dxa" w:w="288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Procedimentos</w:t>
            </w:r>
          </w:p>
        </w:tc>
        <w:tc>
          <w:tcPr>
            <w:tcW w:type="dxa" w:w="12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32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96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0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288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Registros operacionais</w:t>
            </w:r>
          </w:p>
        </w:tc>
        <w:tc>
          <w:tcPr>
            <w:tcW w:type="dxa" w:w="12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32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96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0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288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Imagens / vídeos</w:t>
            </w:r>
          </w:p>
        </w:tc>
        <w:tc>
          <w:tcPr>
            <w:tcW w:type="dxa" w:w="12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32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96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0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288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Desenhos / plantas</w:t>
            </w:r>
          </w:p>
        </w:tc>
        <w:tc>
          <w:tcPr>
            <w:tcW w:type="dxa" w:w="12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32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96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0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288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Relatórios / laudos</w:t>
            </w:r>
          </w:p>
        </w:tc>
        <w:tc>
          <w:tcPr>
            <w:tcW w:type="dxa" w:w="12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32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96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0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288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Contratos / critérios</w:t>
            </w:r>
          </w:p>
        </w:tc>
        <w:tc>
          <w:tcPr>
            <w:tcW w:type="dxa" w:w="12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32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96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0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</w:tbl>
    <w:p>
      <w:pPr>
        <w:pStyle w:val="Heading1"/>
        <w:keepNext/>
      </w:pPr>
      <w:r>
        <w:t>4. Registro simplificado de evidências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970"/>
        <w:gridCol w:w="3536"/>
        <w:gridCol w:w="1711"/>
        <w:gridCol w:w="1711"/>
        <w:gridCol w:w="1825"/>
      </w:tblGrid>
      <w:tr>
        <w:trPr>
          <w:tblHeader w:val="true"/>
          <w:cantSplit/>
        </w:trPr>
        <w:tc>
          <w:tcPr>
            <w:tcW w:type="dxa" w:w="970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ID</w:t>
            </w:r>
          </w:p>
        </w:tc>
        <w:tc>
          <w:tcPr>
            <w:tcW w:type="dxa" w:w="3536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EVIDÊNCIA / FONTE</w:t>
            </w:r>
          </w:p>
        </w:tc>
        <w:tc>
          <w:tcPr>
            <w:tcW w:type="dxa" w:w="171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SITUAÇÃO</w:t>
            </w:r>
          </w:p>
        </w:tc>
        <w:tc>
          <w:tcPr>
            <w:tcW w:type="dxa" w:w="171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CONFIABILIDADE</w:t>
            </w:r>
          </w:p>
        </w:tc>
        <w:tc>
          <w:tcPr>
            <w:tcW w:type="dxa" w:w="182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PRÓXIMA AÇÃO</w:t>
            </w:r>
          </w:p>
        </w:tc>
      </w:tr>
      <w:tr>
        <w:trPr>
          <w:cantSplit/>
        </w:trPr>
        <w:tc>
          <w:tcPr>
            <w:tcW w:type="dxa" w:w="9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EVID-01</w:t>
            </w:r>
          </w:p>
        </w:tc>
        <w:tc>
          <w:tcPr>
            <w:tcW w:type="dxa" w:w="353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1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1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9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EVID-02</w:t>
            </w:r>
          </w:p>
        </w:tc>
        <w:tc>
          <w:tcPr>
            <w:tcW w:type="dxa" w:w="353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1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1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97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EVID-03</w:t>
            </w:r>
          </w:p>
        </w:tc>
        <w:tc>
          <w:tcPr>
            <w:tcW w:type="dxa" w:w="353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1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1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</w:tbl>
    <w:p>
      <w:pPr>
        <w:pStyle w:val="Heading1"/>
        <w:keepNext/>
      </w:pPr>
      <w:r>
        <w:t>5. Gate inicial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5737"/>
        <w:gridCol w:w="861"/>
        <w:gridCol w:w="861"/>
        <w:gridCol w:w="2295"/>
      </w:tblGrid>
      <w:tr>
        <w:trPr>
          <w:tblHeader w:val="true"/>
          <w:cantSplit/>
        </w:trPr>
        <w:tc>
          <w:tcPr>
            <w:tcW w:type="dxa" w:w="5737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CRITÉRIO</w:t>
            </w:r>
          </w:p>
        </w:tc>
        <w:tc>
          <w:tcPr>
            <w:tcW w:type="dxa" w:w="86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SIM</w:t>
            </w:r>
          </w:p>
        </w:tc>
        <w:tc>
          <w:tcPr>
            <w:tcW w:type="dxa" w:w="86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NÃO</w:t>
            </w:r>
          </w:p>
        </w:tc>
        <w:tc>
          <w:tcPr>
            <w:tcW w:type="dxa" w:w="229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OBSERVAÇÃO</w:t>
            </w:r>
          </w:p>
        </w:tc>
      </w:tr>
      <w:tr>
        <w:trPr>
          <w:cantSplit/>
        </w:trPr>
        <w:tc>
          <w:tcPr>
            <w:tcW w:type="dxa" w:w="573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A pergunta técnica está clara?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  <w:tr>
        <w:trPr>
          <w:cantSplit/>
        </w:trPr>
        <w:tc>
          <w:tcPr>
            <w:tcW w:type="dxa" w:w="573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A origem dos arquivos está identificada?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  <w:tr>
        <w:trPr>
          <w:cantSplit/>
        </w:trPr>
        <w:tc>
          <w:tcPr>
            <w:tcW w:type="dxa" w:w="573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Há versão vigente ou pendência registrada?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  <w:tr>
        <w:trPr>
          <w:cantSplit/>
        </w:trPr>
        <w:tc>
          <w:tcPr>
            <w:tcW w:type="dxa" w:w="573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Os documentos essenciais foram listados?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  <w:tr>
        <w:trPr>
          <w:cantSplit/>
        </w:trPr>
        <w:tc>
          <w:tcPr>
            <w:tcW w:type="dxa" w:w="573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É possível iniciar sem risco de perda relevante?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6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</w:tbl>
    <w:p>
      <w:pPr>
        <w:pStyle w:val="Heading1"/>
        <w:keepNext/>
      </w:pPr>
      <w:r>
        <w:t>Decisão e próxima etapa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295"/>
        <w:gridCol w:w="1147"/>
        <w:gridCol w:w="6310"/>
      </w:tblGrid>
      <w:tr>
        <w:trPr>
          <w:tblHeader w:val="true"/>
          <w:cantSplit/>
        </w:trPr>
        <w:tc>
          <w:tcPr>
            <w:tcW w:type="dxa" w:w="229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OPÇÃO</w:t>
            </w:r>
          </w:p>
        </w:tc>
        <w:tc>
          <w:tcPr>
            <w:tcW w:type="dxa" w:w="1147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MARCAR</w:t>
            </w:r>
          </w:p>
        </w:tc>
        <w:tc>
          <w:tcPr>
            <w:tcW w:type="dxa" w:w="6310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AÇÃO</w:t>
            </w:r>
          </w:p>
        </w:tc>
      </w:tr>
      <w:tr>
        <w:trPr>
          <w:cantSplit/>
        </w:trPr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Avançar</w:t>
            </w:r>
          </w:p>
        </w:tc>
        <w:tc>
          <w:tcPr>
            <w:tcW w:type="dxa" w:w="11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6"/>
              </w:rPr>
              <w:t>☐</w:t>
            </w:r>
          </w:p>
        </w:tc>
        <w:tc>
          <w:tcPr>
            <w:tcW w:type="dxa" w:w="631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Organizar a base e iniciar a pré-análise.</w:t>
            </w:r>
          </w:p>
        </w:tc>
      </w:tr>
      <w:tr>
        <w:trPr>
          <w:cantSplit/>
        </w:trPr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Complementar</w:t>
            </w:r>
          </w:p>
        </w:tc>
        <w:tc>
          <w:tcPr>
            <w:tcW w:type="dxa" w:w="11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6"/>
              </w:rPr>
              <w:t>☐</w:t>
            </w:r>
          </w:p>
        </w:tc>
        <w:tc>
          <w:tcPr>
            <w:tcW w:type="dxa" w:w="631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Solicitar itens prioritários antes de avançar.</w:t>
            </w:r>
          </w:p>
        </w:tc>
      </w:tr>
      <w:tr>
        <w:trPr>
          <w:cantSplit/>
        </w:trPr>
        <w:tc>
          <w:tcPr>
            <w:tcW w:type="dxa" w:w="22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Interromper</w:t>
            </w:r>
          </w:p>
        </w:tc>
        <w:tc>
          <w:tcPr>
            <w:tcW w:type="dxa" w:w="11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6"/>
              </w:rPr>
              <w:t>☐</w:t>
            </w:r>
          </w:p>
        </w:tc>
        <w:tc>
          <w:tcPr>
            <w:tcW w:type="dxa" w:w="631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Registrar impedimento, limite ou conflito.</w:t>
            </w:r>
          </w:p>
        </w:tc>
      </w:tr>
    </w:tbl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868"/>
        <w:gridCol w:w="6884"/>
      </w:tblGrid>
      <w:tr>
        <w:trPr>
          <w:tblHeader w:val="true"/>
          <w:cantSplit/>
        </w:trPr>
        <w:tc>
          <w:tcPr>
            <w:tcW w:type="dxa" w:w="2868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884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REGISTRO</w:t>
            </w:r>
          </w:p>
        </w:tc>
      </w:tr>
      <w:tr>
        <w:trPr>
          <w:cantSplit/>
        </w:trPr>
        <w:tc>
          <w:tcPr>
            <w:tcW w:type="dxa" w:w="286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Data / responsável</w:t>
            </w:r>
          </w:p>
        </w:tc>
        <w:tc>
          <w:tcPr>
            <w:tcW w:type="dxa" w:w="688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286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Ressalvas / condição de retomada</w:t>
            </w:r>
          </w:p>
        </w:tc>
        <w:tc>
          <w:tcPr>
            <w:tcW w:type="dxa" w:w="688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FFF7E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C88D00"/>
            </w:tcBorders>
          </w:tcPr>
          <w:p>
            <w:r>
              <w:rPr>
                <w:rFonts w:ascii="Arial" w:hAnsi="Arial"/>
                <w:b/>
                <w:color w:val="C88D00"/>
                <w:sz w:val="18"/>
              </w:rPr>
              <w:t>Limite de uso</w:t>
              <w:br/>
            </w:r>
            <w:r>
              <w:rPr>
                <w:rFonts w:ascii="Arial" w:hAnsi="Arial"/>
                <w:color w:val="263746"/>
                <w:sz w:val="17"/>
              </w:rPr>
              <w:t>Material educacional e operacional. Não substitui contrato, definição formal de escopo, análise técnica, consulta normativa ou responsabilidade profissional.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935" w:bottom="907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7A"/>
        <w:sz w:val="14"/>
      </w:rPr>
      <w:t>GRF-003 | v3.2 | 05/08/2026 | Material técnico gratuito | CREA-SP 5060944646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D6D7A"/>
        <w:sz w:val="15"/>
      </w:rPr>
      <w:t>KMG ENGINEERING INTELLIGENCE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26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23D66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8B9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23D6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MGSmall">
    <w:name w:val="KMG Small"/>
    <w:pPr>
      <w:spacing w:after="40" w:line="240" w:lineRule="auto"/>
    </w:pPr>
    <w:rPr>
      <w:rFonts w:ascii="Arial" w:hAnsi="Arial"/>
      <w:color w:val="5D6D7A"/>
      <w:sz w:val="15"/>
    </w:rPr>
  </w:style>
  <w:style w:type="paragraph" w:customStyle="1" w:styleId="KMGLead">
    <w:name w:val="KMG Lead"/>
    <w:pPr>
      <w:spacing w:after="140" w:line="252" w:lineRule="auto"/>
    </w:pPr>
    <w:rPr>
      <w:rFonts w:ascii="Arial" w:hAnsi="Arial"/>
      <w:b/>
      <w:color w:val="008B9A"/>
      <w:sz w:val="20"/>
    </w:rPr>
  </w:style>
  <w:style w:type="paragraph" w:customStyle="1" w:styleId="KMGBullet">
    <w:name w:val="KMG Bullet"/>
    <w:pPr>
      <w:spacing w:after="40"/>
      <w:ind w:left="255" w:hanging="142"/>
    </w:pPr>
    <w:rPr>
      <w:rFonts w:ascii="Arial" w:hAnsi="Arial"/>
      <w:color w:val="2637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Triagem Documental Inicial</dc:title>
  <dc:subject>Registro mínimo para delimitar demanda, escopo, documentos e gate inicial</dc:subject>
  <dc:creator>KMG Engineering Intelligence</dc:creator>
  <cp:keywords>KMG, GRF-003, organização documental, engenharia, segurança do trabalho</cp:keywords>
  <dc:description>Documento público da Biblioteca Técnica KMG.</dc:description>
  <cp:lastModifiedBy>KMG Engineering Intelligence</cp:lastModifiedBy>
  <cp:revision>1</cp:revision>
  <dcterms:created xsi:type="dcterms:W3CDTF">2026-08-05T12:00:00Z</dcterms:created>
  <dcterms:modified xsi:type="dcterms:W3CDTF">2026-08-05T12:00:00Z</dcterms:modified>
  <cp:category>Biblioteca Técnica KMG</cp:category>
</cp:coreProperties>
</file>