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28"/>
        <w:gridCol w:w="8496"/>
      </w:tblGrid>
      <w:tr>
        <w:trPr>
          <w:cantSplit/>
        </w:trPr>
        <w:tc>
          <w:tcPr>
            <w:tcW w:type="dxa" w:w="4946"/>
            <w:shd w:fill="0B2C4B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rPr>
                <w:b/>
                <w:color w:val="E3AB00"/>
                <w:sz w:val="38"/>
              </w:rPr>
              <w:t>KMG</w:t>
            </w:r>
          </w:p>
        </w:tc>
        <w:tc>
          <w:tcPr>
            <w:tcW w:type="dxa" w:w="4946"/>
            <w:shd w:fill="0B2C4B"/>
            <w:tcMar>
              <w:top w:w="90" w:type="dxa"/>
              <w:start w:w="110" w:type="dxa"/>
              <w:bottom w:w="90" w:type="dxa"/>
              <w:end w:w="110" w:type="dxa"/>
            </w:tcMar>
            <w:vAlign w:val="center"/>
          </w:tcPr>
          <w:p>
            <w:r>
              <w:rPr>
                <w:b/>
                <w:color w:val="FFFFFF"/>
                <w:sz w:val="24"/>
              </w:rPr>
              <w:t>Engineering Intelligence</w:t>
            </w:r>
            <w:r>
              <w:rPr>
                <w:color w:val="C7D8E5"/>
                <w:sz w:val="16"/>
              </w:rPr>
              <w:br/>
              <w:t>Atuação profissional individual</w:t>
            </w:r>
          </w:p>
        </w:tc>
      </w:tr>
    </w:tbl>
    <w:p/>
    <w:p>
      <w:pPr>
        <w:pStyle w:val="Title"/>
      </w:pPr>
      <w:r>
        <w:t>KIT-001 - Guia Rápido</w:t>
      </w:r>
    </w:p>
    <w:p>
      <w:r>
        <w:rPr>
          <w:b/>
          <w:color w:val="174D74"/>
          <w:sz w:val="24"/>
        </w:rPr>
        <w:t>Preparação Documental e Rastreabilidade Técnica</w:t>
      </w:r>
    </w:p>
    <w:p>
      <w:r>
        <w:rPr>
          <w:color w:val="586A78"/>
          <w:sz w:val="18"/>
        </w:rPr>
        <w:t>Edição gratuita v3.1 | Emissão: 06/08/2026</w:t>
      </w:r>
    </w:p>
    <w:p>
      <w:pPr>
        <w:pStyle w:val="Heading1"/>
        <w:keepNext/>
      </w:pPr>
      <w:r>
        <w:t>1. Finalidade</w:t>
      </w:r>
    </w:p>
    <w:p>
      <w:r>
        <w:t>O KIT-001 apoia a preparação inicial de demandas técnicas por meio de organização documental, rastreabilidade, controle de versões, classificação de evidências, registro de lacunas e definição de gates de decisão. O objetivo é reduzir retrabalho e estruturar uma base verificável antes de análises técnicas mais aprofundadas.</w:t>
      </w:r>
    </w:p>
    <w:p>
      <w:pPr>
        <w:pStyle w:val="Heading1"/>
        <w:keepNext/>
      </w:pPr>
      <w:r>
        <w:t>2. Como começar</w:t>
      </w:r>
    </w:p>
    <w:p>
      <w:pPr>
        <w:pStyle w:val="ListNumber"/>
        <w:spacing w:after="40"/>
      </w:pPr>
      <w:r>
        <w:t>Preserve o arquivo ZIP original e trabalhe em uma cópia extraída.</w:t>
      </w:r>
    </w:p>
    <w:p>
      <w:pPr>
        <w:pStyle w:val="ListNumber"/>
        <w:spacing w:after="40"/>
      </w:pPr>
      <w:r>
        <w:t>Leia o manual profissional antes de adaptar os modelos.</w:t>
      </w:r>
    </w:p>
    <w:p>
      <w:pPr>
        <w:pStyle w:val="ListNumber"/>
        <w:spacing w:after="40"/>
      </w:pPr>
      <w:r>
        <w:t>Use os casos fictícios apenas como referência metodológica.</w:t>
      </w:r>
    </w:p>
    <w:p>
      <w:pPr>
        <w:pStyle w:val="ListNumber"/>
        <w:spacing w:after="40"/>
      </w:pPr>
      <w:r>
        <w:t>Cadastre documentos, versões, evidências, pendências e responsáveis.</w:t>
      </w:r>
    </w:p>
    <w:p>
      <w:pPr>
        <w:pStyle w:val="ListNumber"/>
        <w:spacing w:after="40"/>
      </w:pPr>
      <w:r>
        <w:t>Aplique o gate antes de avançar para análise de mérito.</w:t>
      </w:r>
    </w:p>
    <w:p>
      <w:pPr>
        <w:pStyle w:val="ListNumber"/>
        <w:spacing w:after="40"/>
      </w:pPr>
      <w:r>
        <w:t>Confirme legislação, normas, atribuições e requisitos aplicáveis ao caso real.</w:t>
      </w:r>
    </w:p>
    <w:p>
      <w:pPr>
        <w:pStyle w:val="Heading1"/>
        <w:keepNext/>
      </w:pPr>
      <w:r>
        <w:t>3. Metodologia em linguagem simples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893"/>
      </w:tblGrid>
      <w:tr>
        <w:trPr>
          <w:cantSplit/>
        </w:trPr>
        <w:tc>
          <w:tcPr>
            <w:tcW w:type="dxa" w:w="9893"/>
            <w:shd w:fill="F4F7F9"/>
            <w:tcMar>
              <w:top w:w="130" w:type="dxa"/>
              <w:start w:w="150" w:type="dxa"/>
              <w:bottom w:w="130" w:type="dxa"/>
              <w:end w:w="150" w:type="dxa"/>
            </w:tcMar>
          </w:tcPr>
          <w:p>
            <w:r>
              <w:rPr>
                <w:b/>
                <w:color w:val="0B2C4B"/>
              </w:rPr>
              <w:t>F-E-A-C - Fato, Evidência, Análise e Conclusão</w:t>
              <w:br/>
            </w:r>
            <w:r>
              <w:rPr>
                <w:color w:val="1F2D38"/>
                <w:sz w:val="19"/>
              </w:rPr>
              <w:t>Estrutura de raciocínio que separa o que ocorreu ou foi alegado, as fontes verificáveis, a análise técnica e a conclusão limitada ao conjunto de evidências disponível.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893"/>
      </w:tblGrid>
      <w:tr>
        <w:trPr>
          <w:cantSplit/>
        </w:trPr>
        <w:tc>
          <w:tcPr>
            <w:tcW w:type="dxa" w:w="9893"/>
            <w:shd w:fill="F4F7F9"/>
            <w:tcMar>
              <w:top w:w="130" w:type="dxa"/>
              <w:start w:w="150" w:type="dxa"/>
              <w:bottom w:w="130" w:type="dxa"/>
              <w:end w:w="150" w:type="dxa"/>
            </w:tcMar>
          </w:tcPr>
          <w:p>
            <w:r>
              <w:rPr>
                <w:b/>
                <w:color w:val="0B2C4B"/>
              </w:rPr>
              <w:t>DMAIC - Definir, Medir, Analisar, Melhorar e Controlar</w:t>
              <w:br/>
            </w:r>
            <w:r>
              <w:rPr>
                <w:color w:val="1F2D38"/>
                <w:sz w:val="19"/>
              </w:rPr>
              <w:t>Ciclo Lean Six Sigma utilizado de forma proporcional para delimitar a demanda, qualificar dados, investigar causas, estruturar melhorias e acompanhar resultados.</w:t>
            </w:r>
          </w:p>
        </w:tc>
      </w:tr>
    </w:tbl>
    <w:p>
      <w:pPr>
        <w:spacing w:after="20"/>
      </w:pPr>
    </w:p>
    <w:p>
      <w:pPr>
        <w:pStyle w:val="Heading1"/>
        <w:keepNext/>
        <w:pageBreakBefore/>
      </w:pPr>
      <w:r>
        <w:t>4. Conteúdo da edição gratuita</w:t>
      </w:r>
    </w:p>
    <w:p>
      <w:pPr>
        <w:pStyle w:val="ListBullet"/>
        <w:spacing w:after="40"/>
      </w:pPr>
      <w:r>
        <w:t>Manual profissional em DOCX e PDF.</w:t>
      </w:r>
    </w:p>
    <w:p>
      <w:pPr>
        <w:pStyle w:val="ListBullet"/>
        <w:spacing w:after="40"/>
      </w:pPr>
      <w:r>
        <w:t>Cinco casos fictícios preenchidos em DOCX e PDF.</w:t>
      </w:r>
    </w:p>
    <w:p>
      <w:pPr>
        <w:pStyle w:val="ListBullet"/>
        <w:spacing w:after="40"/>
      </w:pPr>
      <w:r>
        <w:t>Cinco sistemas de controle documental preenchidos em XLSX.</w:t>
      </w:r>
    </w:p>
    <w:p>
      <w:pPr>
        <w:pStyle w:val="ListBullet"/>
        <w:spacing w:after="40"/>
      </w:pPr>
      <w:r>
        <w:t>Cinco templates de planilha em branco em XLSX.</w:t>
      </w:r>
    </w:p>
    <w:p>
      <w:pPr>
        <w:pStyle w:val="ListBullet"/>
        <w:spacing w:after="40"/>
      </w:pPr>
      <w:r>
        <w:t>Cinco templates de caso aplicado em DOCX.</w:t>
      </w:r>
    </w:p>
    <w:p>
      <w:pPr>
        <w:pStyle w:val="ListBullet"/>
        <w:spacing w:after="40"/>
      </w:pPr>
      <w:r>
        <w:t>Termos de uso da edição gratuita.</w:t>
      </w:r>
    </w:p>
    <w:p>
      <w:pPr>
        <w:pStyle w:val="Heading1"/>
        <w:keepNext/>
      </w:pPr>
      <w:r>
        <w:t>5. Mapa de versões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46"/>
        <w:gridCol w:w="4946"/>
      </w:tblGrid>
      <w:tr>
        <w:trPr>
          <w:cantSplit/>
        </w:trPr>
        <w:tc>
          <w:tcPr>
            <w:tcW w:type="dxa" w:w="4946"/>
            <w:shd w:fill="0B2C4B"/>
          </w:tcPr>
          <w:p>
            <w:r>
              <w:rPr>
                <w:b/>
                <w:color w:val="FFFFFF"/>
              </w:rPr>
              <w:t>Componente</w:t>
            </w:r>
          </w:p>
        </w:tc>
        <w:tc>
          <w:tcPr>
            <w:tcW w:type="dxa" w:w="4946"/>
            <w:shd w:fill="0B2C4B"/>
          </w:tcPr>
          <w:p>
            <w:r>
              <w:rPr>
                <w:b/>
                <w:color w:val="FFFFFF"/>
              </w:rPr>
              <w:t>Versão preservada</w:t>
            </w:r>
          </w:p>
        </w:tc>
      </w:tr>
      <w:tr>
        <w:trPr>
          <w:cantSplit/>
        </w:trPr>
        <w:tc>
          <w:tcPr>
            <w:tcW w:type="dxa" w:w="494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>Pacote e orientações gerais</w:t>
            </w:r>
          </w:p>
        </w:tc>
        <w:tc>
          <w:tcPr>
            <w:tcW w:type="dxa" w:w="494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>v3.1</w:t>
            </w:r>
          </w:p>
        </w:tc>
      </w:tr>
      <w:tr>
        <w:trPr>
          <w:cantSplit/>
        </w:trPr>
        <w:tc>
          <w:tcPr>
            <w:tcW w:type="dxa" w:w="494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>Manual e documentos DOCX/PDF dos cinco casos</w:t>
            </w:r>
          </w:p>
        </w:tc>
        <w:tc>
          <w:tcPr>
            <w:tcW w:type="dxa" w:w="494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>v2.6</w:t>
            </w:r>
          </w:p>
        </w:tc>
      </w:tr>
      <w:tr>
        <w:trPr>
          <w:cantSplit/>
        </w:trPr>
        <w:tc>
          <w:tcPr>
            <w:tcW w:type="dxa" w:w="494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>Planilhas de controle e templates XLSX</w:t>
            </w:r>
          </w:p>
        </w:tc>
        <w:tc>
          <w:tcPr>
            <w:tcW w:type="dxa" w:w="494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>v2.3</w:t>
            </w:r>
          </w:p>
        </w:tc>
      </w:tr>
      <w:tr>
        <w:trPr>
          <w:cantSplit/>
        </w:trPr>
        <w:tc>
          <w:tcPr>
            <w:tcW w:type="dxa" w:w="494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>Termos de uso da edição gratuita</w:t>
            </w:r>
          </w:p>
        </w:tc>
        <w:tc>
          <w:tcPr>
            <w:tcW w:type="dxa" w:w="494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>v3.0</w:t>
            </w:r>
          </w:p>
        </w:tc>
      </w:tr>
    </w:tbl>
    <w:p>
      <w:r>
        <w:t>A edição v3.1 altera a organização, compatibilidade de caminhos e orientação ao usuário. Os componentes técnicos preservados mantêm suas versões de origem para rastreabilidade.</w:t>
      </w:r>
    </w:p>
    <w:p>
      <w:pPr>
        <w:pStyle w:val="Heading1"/>
        <w:keepNext/>
      </w:pPr>
      <w:r>
        <w:t>6. Perguntas frequentes</w:t>
      </w:r>
    </w:p>
    <w:p>
      <w:r>
        <w:rPr>
          <w:b/>
          <w:color w:val="0B2C4B"/>
        </w:rPr>
        <w:t>O KIT produz um laudo ou parecer pronto?</w:t>
      </w:r>
    </w:p>
    <w:p>
      <w:pPr>
        <w:ind w:left="216"/>
      </w:pPr>
      <w:r>
        <w:t>Não. O KIT organiza a base documental e apoia o raciocínio. A conclusão depende de análise técnica competente, atribuições profissionais, normas vigentes e contexto real.</w:t>
      </w:r>
    </w:p>
    <w:p>
      <w:r>
        <w:rPr>
          <w:b/>
          <w:color w:val="0B2C4B"/>
        </w:rPr>
        <w:t>Posso editar os arquivos?</w:t>
      </w:r>
    </w:p>
    <w:p>
      <w:pPr>
        <w:ind w:left="216"/>
      </w:pPr>
      <w:r>
        <w:t>Sim, nos formatos indicados como editáveis. Preserve uma cópia original antes de adaptar.</w:t>
      </w:r>
    </w:p>
    <w:p>
      <w:r>
        <w:rPr>
          <w:b/>
          <w:color w:val="0B2C4B"/>
        </w:rPr>
        <w:t>Posso compartilhar o ZIP original?</w:t>
      </w:r>
    </w:p>
    <w:p>
      <w:pPr>
        <w:ind w:left="216"/>
      </w:pPr>
      <w:r>
        <w:t>O download deve ocorrer pelo canal oficial da KMG. Não publique o ZIP em repositórios, não revenda e não apresente versões alteradas como oficiais.</w:t>
      </w:r>
    </w:p>
    <w:p>
      <w:r>
        <w:rPr>
          <w:b/>
          <w:color w:val="0B2C4B"/>
        </w:rPr>
        <w:t>Os casos são reais?</w:t>
      </w:r>
    </w:p>
    <w:p>
      <w:pPr>
        <w:ind w:left="216"/>
      </w:pPr>
      <w:r>
        <w:t>Não. Todos os casos, dados, nomes, medições e conclusões são fictícios e demonstrativos.</w:t>
      </w:r>
    </w:p>
    <w:p>
      <w:r>
        <w:rPr>
          <w:b/>
          <w:color w:val="0B2C4B"/>
        </w:rPr>
        <w:t>O material é atualizado automaticamente?</w:t>
      </w:r>
    </w:p>
    <w:p>
      <w:pPr>
        <w:ind w:left="216"/>
      </w:pPr>
      <w:r>
        <w:t>Não. Confirme sempre legislação e normas nas fontes oficiais antes do uso real.</w:t>
      </w:r>
    </w:p>
    <w:p>
      <w:r>
        <w:rPr>
          <w:b/>
          <w:color w:val="0B2C4B"/>
        </w:rPr>
        <w:t>O que é o KIT-002?</w:t>
      </w:r>
    </w:p>
    <w:p>
      <w:pPr>
        <w:ind w:left="216"/>
      </w:pPr>
      <w:r>
        <w:t>É um conjunto de três casos completos - duas assistências técnicas e uma perícia - desenvolvidos do recebimento ao encerramento. Informações podem ser solicitadas pelo canal profissional indicado no site.</w:t>
      </w:r>
    </w:p>
    <w:p>
      <w:pPr>
        <w:pStyle w:val="Heading1"/>
        <w:keepNext/>
      </w:pPr>
      <w:r>
        <w:t>7. Limites de uso</w:t>
      </w:r>
    </w:p>
    <w:p>
      <w:pPr>
        <w:pStyle w:val="ListBullet"/>
        <w:spacing w:after="40"/>
      </w:pPr>
      <w:r>
        <w:t>Não constitui laudo, parecer, perícia, vistoria, medição, ART, serviço de engenharia ou orientação jurídica.</w:t>
      </w:r>
    </w:p>
    <w:p>
      <w:pPr>
        <w:pStyle w:val="ListBullet"/>
        <w:spacing w:after="40"/>
      </w:pPr>
      <w:r>
        <w:t>Não substitui análise técnica individual, responsabilidade profissional ou verificação de atribuições.</w:t>
      </w:r>
    </w:p>
    <w:p>
      <w:pPr>
        <w:pStyle w:val="ListBullet"/>
        <w:spacing w:after="40"/>
      </w:pPr>
      <w:r>
        <w:t>Os casos são fictícios e demonstrativos.</w:t>
      </w:r>
    </w:p>
    <w:p>
      <w:pPr>
        <w:pStyle w:val="ListBullet"/>
        <w:spacing w:after="40"/>
      </w:pPr>
      <w:r>
        <w:t>Normas e legislação devem ser conferidas em fontes oficiais antes do uso real.</w:t>
      </w:r>
    </w:p>
    <w:p>
      <w:pPr>
        <w:pStyle w:val="ListBullet"/>
        <w:spacing w:after="40"/>
      </w:pPr>
      <w:r>
        <w:t>O usuário é responsável pelos dados inseridos e pela segurança das cópias de trabalho.</w:t>
      </w:r>
    </w:p>
    <w:p>
      <w:pPr>
        <w:pStyle w:val="Heading1"/>
        <w:keepNext/>
        <w:pageBreakBefore w:val="0"/>
      </w:pPr>
      <w:r>
        <w:t>8. Próxima etapa</w:t>
      </w:r>
    </w:p>
    <w:p>
      <w:r>
        <w:t>O KIT-002 demonstra duas assistências técnicas e uma perícia completas, do recebimento da demanda ao encerramento, com documentos, evidências, cálculos, análises e conclusões demonstrativas.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893"/>
      </w:tblGrid>
      <w:tr>
        <w:trPr>
          <w:cantSplit/>
        </w:trPr>
        <w:tc>
          <w:tcPr>
            <w:tcW w:type="dxa" w:w="9893"/>
            <w:shd w:fill="F4F7F9"/>
            <w:tcMar>
              <w:top w:w="130" w:type="dxa"/>
              <w:start w:w="150" w:type="dxa"/>
              <w:bottom w:w="130" w:type="dxa"/>
              <w:end w:w="150" w:type="dxa"/>
            </w:tcMar>
          </w:tcPr>
          <w:p>
            <w:r>
              <w:rPr>
                <w:b/>
                <w:color w:val="0B2C4B"/>
              </w:rPr>
              <w:t>Contato profissional</w:t>
              <w:br/>
            </w:r>
            <w:r>
              <w:rPr>
                <w:color w:val="1F2D38"/>
                <w:sz w:val="19"/>
              </w:rPr>
              <w:t>Para informar defeito de arquivo ou consultar disponibilidade e materiais complementares: klasnerg@gmail.com. Não encaminhe dados pessoais sensíveis ou documentos integrais de casos reais antes da definição do canal adequado.</w:t>
            </w:r>
          </w:p>
        </w:tc>
      </w:tr>
    </w:tbl>
    <w:p>
      <w:pPr>
        <w:spacing w:after="20"/>
      </w:pPr>
    </w:p>
    <w:sectPr w:rsidR="00FC693F" w:rsidRPr="0006063C" w:rsidSect="00034616">
      <w:footerReference w:type="default" r:id="rId9"/>
      <w:pgSz w:w="11909" w:h="16834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748695"/>
        <w:sz w:val="16"/>
      </w:rPr>
      <w:t>KMG Engineering Intelligence | Guia Rápido KIT-001 v3.1 | Uso educacional e operacional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Aptos" w:hAnsi="Aptos"/>
      <w:color w:val="1F2D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C4B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4D74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b/>
      <w:color w:val="0B2C4B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