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Title"/>
        <w:spacing w:after="100"/>
        <w:pBdr>
          <w:bottom w:val="single" w:sz="10" w:space="3" w:color="123456"/>
        </w:pBdr>
      </w:pPr>
      <w:r>
        <w:t>MANUAL PROFISSIONAL DO KIT DE PREPARAÇÃO DOCUMENTAL</w:t>
      </w:r>
    </w:p>
    <w:p>
      <w:pPr>
        <w:spacing w:after="160"/>
      </w:pPr>
      <w:r>
        <w:rPr>
          <w:rFonts w:ascii="Arial" w:hAnsi="Arial"/>
          <w:color w:val="0F8B8D"/>
          <w:sz w:val="28"/>
        </w:rPr>
        <w:t>Sistema de organização, rastreabilidade, evidências e gate para demandas técnicas fictícias</w:t>
      </w:r>
    </w:p>
    <w:p>
      <w:r>
        <w:drawing>
          <wp:inline xmlns:a="http://schemas.openxmlformats.org/drawingml/2006/main" xmlns:pic="http://schemas.openxmlformats.org/drawingml/2006/picture">
            <wp:extent cx="6480000" cy="220547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mg_mockup_kit_premium_v3_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22054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 w:line="252" w:lineRule="auto"/>
      </w:pPr>
      <w:r>
        <w:t>O KIT reúne método, controles editáveis e cinco casos fictícios. Seu objetivo é organizar a base documental antes da análise técnica, reduzir retrabalho e registrar com clareza o que está confirmado, divergente ou pendente.</w:t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1. Estrutura do KIT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21"/>
        <w:gridCol w:w="3421"/>
        <w:gridCol w:w="3421"/>
      </w:tblGrid>
      <w:tr>
        <w:tc>
          <w:tcPr>
            <w:tcW w:type="dxa" w:w="255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/>
              </w:rPr>
              <w:t>COMPONENTE</w:t>
            </w:r>
          </w:p>
        </w:tc>
        <w:tc>
          <w:tcPr>
            <w:tcW w:type="dxa" w:w="5953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/>
              </w:rPr>
              <w:t>FUNÇÃO</w:t>
            </w:r>
          </w:p>
        </w:tc>
        <w:tc>
          <w:tcPr>
            <w:tcW w:type="dxa" w:w="170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/>
              </w:rPr>
              <w:t>FORMATO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Manual profissional</w:t>
            </w:r>
          </w:p>
        </w:tc>
        <w:tc>
          <w:tcPr>
            <w:tcW w:type="dxa" w:w="5953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Orienta a jornada, os controles, os limites e o uso responsável.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DOCX/PDF</w:t>
            </w:r>
          </w:p>
        </w:tc>
      </w:tr>
      <w:tr>
        <w:tc>
          <w:tcPr>
            <w:tcW w:type="dxa" w:w="255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Casos fictícios preenchidos</w:t>
            </w:r>
          </w:p>
        </w:tc>
        <w:tc>
          <w:tcPr>
            <w:tcW w:type="dxa" w:w="5953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Demonstram o método em cinco contextos técnicos distintos.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DOCX/PDF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Sistemas de controle</w:t>
            </w:r>
          </w:p>
        </w:tc>
        <w:tc>
          <w:tcPr>
            <w:tcW w:type="dxa" w:w="5953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Organizam inventário, cronologia, evidências, pendências e indicadores.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XLSX</w:t>
            </w:r>
          </w:p>
        </w:tc>
      </w:tr>
      <w:tr>
        <w:tc>
          <w:tcPr>
            <w:tcW w:type="dxa" w:w="255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Templates de planilha</w:t>
            </w:r>
          </w:p>
        </w:tc>
        <w:tc>
          <w:tcPr>
            <w:tcW w:type="dxa" w:w="5953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Permitem iniciar novas demandas com estrutura padronizada.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XLSX</w:t>
            </w:r>
          </w:p>
        </w:tc>
      </w:tr>
      <w:tr>
        <w:tc>
          <w:tcPr>
            <w:tcW w:type="dxa" w:w="255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Templates de caso aplicado</w:t>
            </w:r>
          </w:p>
        </w:tc>
        <w:tc>
          <w:tcPr>
            <w:tcW w:type="dxa" w:w="5953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Oferecem roteiro narrativo editável para adaptação profissional.</w:t>
            </w:r>
          </w:p>
        </w:tc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DOCX</w:t>
            </w:r>
          </w:p>
        </w:tc>
      </w:tr>
      <w:tr>
        <w:tc>
          <w:tcPr>
            <w:tcW w:type="dxa" w:w="255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Termos de uso e licença</w:t>
            </w:r>
          </w:p>
        </w:tc>
        <w:tc>
          <w:tcPr>
            <w:tcW w:type="dxa" w:w="5953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Definem condições de uso, limites e proteção dos arquivos-fonte.</w:t>
            </w:r>
          </w:p>
        </w:tc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/>
            <w:r>
              <w:rPr>
                <w:b w:val="0"/>
              </w:rPr>
              <w:t>PDF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2. Jornada recomendada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21"/>
        <w:gridCol w:w="3421"/>
        <w:gridCol w:w="3421"/>
      </w:tblGrid>
      <w:tr>
        <w:tc>
          <w:tcPr>
            <w:tcW w:type="dxa" w:w="1701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ETAPA</w:t>
            </w:r>
          </w:p>
        </w:tc>
        <w:tc>
          <w:tcPr>
            <w:tcW w:type="dxa" w:w="510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AÇÃO</w:t>
            </w:r>
          </w:p>
        </w:tc>
        <w:tc>
          <w:tcPr>
            <w:tcW w:type="dxa" w:w="340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SAÍDA CONTROLADA</w:t>
            </w:r>
          </w:p>
        </w:tc>
      </w:tr>
      <w:tr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1. Abertura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Registrar objetivo, pergunta técnica, limites e prazo.</w:t>
            </w:r>
          </w:p>
        </w:tc>
        <w:tc>
          <w:tcPr>
            <w:tcW w:type="dxa" w:w="34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Ficha de abertura.</w:t>
            </w:r>
          </w:p>
        </w:tc>
      </w:tr>
      <w:tr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2. Recebimento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Preservar originais e identificar origem.</w:t>
            </w:r>
          </w:p>
        </w:tc>
        <w:tc>
          <w:tcPr>
            <w:tcW w:type="dxa" w:w="34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Pasta de recebidos.</w:t>
            </w:r>
          </w:p>
        </w:tc>
      </w:tr>
      <w:tr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3. Inventário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Listar arquivos, grupos, versões e status.</w:t>
            </w:r>
          </w:p>
        </w:tc>
        <w:tc>
          <w:tcPr>
            <w:tcW w:type="dxa" w:w="34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Inventário mestre.</w:t>
            </w:r>
          </w:p>
        </w:tc>
      </w:tr>
      <w:tr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4. Organização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Aplicar nomenclatura e estrutura de pastas.</w:t>
            </w:r>
          </w:p>
        </w:tc>
        <w:tc>
          <w:tcPr>
            <w:tcW w:type="dxa" w:w="34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Base de trabalho rastreável.</w:t>
            </w:r>
          </w:p>
        </w:tc>
      </w:tr>
      <w:tr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5. Cronologia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Separar fatos, registros e ações posteriores.</w:t>
            </w:r>
          </w:p>
        </w:tc>
        <w:tc>
          <w:tcPr>
            <w:tcW w:type="dxa" w:w="34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Linha do tempo.</w:t>
            </w:r>
          </w:p>
        </w:tc>
      </w:tr>
      <w:tr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6. Evidências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Relacionar fato, fonte, confiabilidade e lacuna.</w:t>
            </w:r>
          </w:p>
        </w:tc>
        <w:tc>
          <w:tcPr>
            <w:tcW w:type="dxa" w:w="34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Matriz fato-evidência.</w:t>
            </w:r>
          </w:p>
        </w:tc>
      </w:tr>
      <w:tr>
        <w:tc>
          <w:tcPr>
            <w:tcW w:type="dxa" w:w="1701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7. Pendências</w:t>
            </w:r>
          </w:p>
        </w:tc>
        <w:tc>
          <w:tcPr>
            <w:tcW w:type="dxa" w:w="51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Definir o que falta, impacto, responsável e prazo.</w:t>
            </w:r>
          </w:p>
        </w:tc>
        <w:tc>
          <w:tcPr>
            <w:tcW w:type="dxa" w:w="340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Plano de complementação.</w:t>
            </w:r>
          </w:p>
        </w:tc>
      </w:tr>
      <w:tr>
        <w:tc>
          <w:tcPr>
            <w:tcW w:type="dxa" w:w="1701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8. Gate</w:t>
            </w:r>
          </w:p>
        </w:tc>
        <w:tc>
          <w:tcPr>
            <w:tcW w:type="dxa" w:w="51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Decidir avançar, complementar ou interromper.</w:t>
            </w:r>
          </w:p>
        </w:tc>
        <w:tc>
          <w:tcPr>
            <w:tcW w:type="dxa" w:w="340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Registro de decisão.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3. Cinco casos integrados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1417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CASO</w:t>
            </w:r>
          </w:p>
        </w:tc>
        <w:tc>
          <w:tcPr>
            <w:tcW w:type="dxa" w:w="3118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TEMA</w:t>
            </w:r>
          </w:p>
        </w:tc>
        <w:tc>
          <w:tcPr>
            <w:tcW w:type="dxa" w:w="4535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APLICAÇÃO</w:t>
            </w:r>
          </w:p>
        </w:tc>
        <w:tc>
          <w:tcPr>
            <w:tcW w:type="dxa" w:w="113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5"/>
              </w:rPr>
              <w:t>VERSÃO</w:t>
            </w:r>
          </w:p>
        </w:tc>
      </w:tr>
      <w:tr>
        <w:tc>
          <w:tcPr>
            <w:tcW w:type="dxa" w:w="141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Caso 01</w:t>
            </w:r>
          </w:p>
        </w:tc>
        <w:tc>
          <w:tcPr>
            <w:tcW w:type="dxa" w:w="311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Movimentação de materiais</w:t>
            </w:r>
          </w:p>
        </w:tc>
        <w:tc>
          <w:tcPr>
            <w:tcW w:type="dxa" w:w="45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Cenário, rota, proteção, cronologia, evidências e gate.</w:t>
            </w:r>
          </w:p>
        </w:tc>
        <w:tc>
          <w:tcPr>
            <w:tcW w:type="dxa" w:w="113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>
              <w:t>v2.6</w:t>
            </w:r>
          </w:p>
        </w:tc>
      </w:tr>
      <w:tr>
        <w:tc>
          <w:tcPr>
            <w:tcW w:type="dxa" w:w="1417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Caso 02</w:t>
            </w:r>
          </w:p>
        </w:tc>
        <w:tc>
          <w:tcPr>
            <w:tcW w:type="dxa" w:w="311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Insalubridade: ruído e calor</w:t>
            </w:r>
          </w:p>
        </w:tc>
        <w:tc>
          <w:tcPr>
            <w:tcW w:type="dxa" w:w="4535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Fontes, períodos, avaliações, representatividade e gate.</w:t>
            </w:r>
          </w:p>
        </w:tc>
        <w:tc>
          <w:tcPr>
            <w:tcW w:type="dxa" w:w="113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>
              <w:t>v2.6</w:t>
            </w:r>
          </w:p>
        </w:tc>
      </w:tr>
      <w:tr>
        <w:tc>
          <w:tcPr>
            <w:tcW w:type="dxa" w:w="141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Caso 03</w:t>
            </w:r>
          </w:p>
        </w:tc>
        <w:tc>
          <w:tcPr>
            <w:tcW w:type="dxa" w:w="311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Periculosidade: troca de GLP</w:t>
            </w:r>
          </w:p>
        </w:tc>
        <w:tc>
          <w:tcPr>
            <w:tcW w:type="dxa" w:w="45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Abrigo, fluxo, permanência, documentos e gate.</w:t>
            </w:r>
          </w:p>
        </w:tc>
        <w:tc>
          <w:tcPr>
            <w:tcW w:type="dxa" w:w="113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>
              <w:t>v2.6</w:t>
            </w:r>
          </w:p>
        </w:tc>
      </w:tr>
      <w:tr>
        <w:tc>
          <w:tcPr>
            <w:tcW w:type="dxa" w:w="1417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Caso 04</w:t>
            </w:r>
          </w:p>
        </w:tc>
        <w:tc>
          <w:tcPr>
            <w:tcW w:type="dxa" w:w="3118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Máquina e equipamento</w:t>
            </w:r>
          </w:p>
        </w:tc>
        <w:tc>
          <w:tcPr>
            <w:tcW w:type="dxa" w:w="4535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Configurações temporais, intervenções, evidências e gate.</w:t>
            </w:r>
          </w:p>
        </w:tc>
        <w:tc>
          <w:tcPr>
            <w:tcW w:type="dxa" w:w="113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>
              <w:t>v2.6</w:t>
            </w:r>
          </w:p>
        </w:tc>
      </w:tr>
      <w:tr>
        <w:tc>
          <w:tcPr>
            <w:tcW w:type="dxa" w:w="1417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Caso 05</w:t>
            </w:r>
          </w:p>
        </w:tc>
        <w:tc>
          <w:tcPr>
            <w:tcW w:type="dxa" w:w="3118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Assistência técnica documental</w:t>
            </w:r>
          </w:p>
        </w:tc>
        <w:tc>
          <w:tcPr>
            <w:tcW w:type="dxa" w:w="45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5"/>
              </w:rPr>
              <w:t>Escopo, contrato, versões, quesitos, evidências e gate.</w:t>
            </w:r>
          </w:p>
        </w:tc>
        <w:tc>
          <w:tcPr>
            <w:tcW w:type="dxa" w:w="113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r>
              <w:t>v2.6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4. Como usar os casos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1. Ler primeiro o documento narrativo e identificar a pergunta técnica.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2. Analisar o infográfico para compreender cenário, fontes e pontos de controle.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3. Comparar cronologia, matriz de evidências, pendências e gate.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4. Duplicar apenas os templates em branco necessários.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5. Cadastrar uma nova demanda sem copiar fatos ou conclusões dos exemplos.</w:t>
      </w:r>
    </w:p>
    <w:p>
      <w:pPr>
        <w:spacing w:after="40" w:line="252" w:lineRule="auto"/>
      </w:pPr>
      <w:r>
        <w:rPr>
          <w:rFonts w:ascii="Arial" w:hAnsi="Arial"/>
          <w:b w:val="0"/>
          <w:color w:val="425466"/>
          <w:sz w:val="17"/>
        </w:rPr>
        <w:t>6. Revalidar normas, legislação, atribuições e contexto antes de qualquer uso real.</w:t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5. Regras de rastreabilidade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31"/>
        <w:gridCol w:w="5131"/>
      </w:tblGrid>
      <w:tr>
        <w:tc>
          <w:tcPr>
            <w:tcW w:type="dxa" w:w="2835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REGRA</w:t>
            </w:r>
          </w:p>
        </w:tc>
        <w:tc>
          <w:tcPr>
            <w:tcW w:type="dxa" w:w="7370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APLICAÇÃO</w:t>
            </w:r>
          </w:p>
        </w:tc>
      </w:tr>
      <w:tr>
        <w:tc>
          <w:tcPr>
            <w:tcW w:type="dxa" w:w="28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Preservar originais</w:t>
            </w:r>
          </w:p>
        </w:tc>
        <w:tc>
          <w:tcPr>
            <w:tcW w:type="dxa" w:w="737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Não renomear, editar ou sobrescrever o arquivo recebido.</w:t>
            </w:r>
          </w:p>
        </w:tc>
      </w:tr>
      <w:tr>
        <w:tc>
          <w:tcPr>
            <w:tcW w:type="dxa" w:w="2835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Controlar versões</w:t>
            </w:r>
          </w:p>
        </w:tc>
        <w:tc>
          <w:tcPr>
            <w:tcW w:type="dxa" w:w="7370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Usar v01, v02, v03 e registrar a versão vigente.</w:t>
            </w:r>
          </w:p>
        </w:tc>
      </w:tr>
      <w:tr>
        <w:tc>
          <w:tcPr>
            <w:tcW w:type="dxa" w:w="28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Registrar origem</w:t>
            </w:r>
          </w:p>
        </w:tc>
        <w:tc>
          <w:tcPr>
            <w:tcW w:type="dxa" w:w="737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Identificar remetente, data, canal e contexto.</w:t>
            </w:r>
          </w:p>
        </w:tc>
      </w:tr>
      <w:tr>
        <w:tc>
          <w:tcPr>
            <w:tcW w:type="dxa" w:w="2835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Separar fato de hipótese</w:t>
            </w:r>
          </w:p>
        </w:tc>
        <w:tc>
          <w:tcPr>
            <w:tcW w:type="dxa" w:w="7370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Não preencher lacunas por estimativa ou memória.</w:t>
            </w:r>
          </w:p>
        </w:tc>
      </w:tr>
      <w:tr>
        <w:tc>
          <w:tcPr>
            <w:tcW w:type="dxa" w:w="2835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Documentar decisões</w:t>
            </w:r>
          </w:p>
        </w:tc>
        <w:tc>
          <w:tcPr>
            <w:tcW w:type="dxa" w:w="7370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Toda alteração de status deve possuir justificativa.</w:t>
            </w:r>
          </w:p>
        </w:tc>
      </w:tr>
      <w:tr>
        <w:tc>
          <w:tcPr>
            <w:tcW w:type="dxa" w:w="2835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Manter histórico</w:t>
            </w:r>
          </w:p>
        </w:tc>
        <w:tc>
          <w:tcPr>
            <w:tcW w:type="dxa" w:w="7370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Arquivos obsoletos devem ser segregados, não apagados sem regra.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6. Gate de pré-análise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21"/>
        <w:gridCol w:w="3421"/>
        <w:gridCol w:w="3421"/>
      </w:tblGrid>
      <w:tr>
        <w:tc>
          <w:tcPr>
            <w:tcW w:type="dxa" w:w="1984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RESULTADO</w:t>
            </w:r>
          </w:p>
        </w:tc>
        <w:tc>
          <w:tcPr>
            <w:tcW w:type="dxa" w:w="4252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CONDIÇÃO</w:t>
            </w:r>
          </w:p>
        </w:tc>
        <w:tc>
          <w:tcPr>
            <w:tcW w:type="dxa" w:w="3969"/>
            <w:shd w:fill="123456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AÇÃO</w:t>
            </w:r>
          </w:p>
        </w:tc>
      </w:tr>
      <w:tr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Avançar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Base organizada e lacunas não impeditivas.</w:t>
            </w:r>
          </w:p>
        </w:tc>
        <w:tc>
          <w:tcPr>
            <w:tcW w:type="dxa" w:w="3969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Registrar ressalvas e iniciar a análise.</w:t>
            </w:r>
          </w:p>
        </w:tc>
      </w:tr>
      <w:tr>
        <w:tc>
          <w:tcPr>
            <w:tcW w:type="dxa" w:w="1984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Complementar</w:t>
            </w:r>
          </w:p>
        </w:tc>
        <w:tc>
          <w:tcPr>
            <w:tcW w:type="dxa" w:w="4252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Pendências afetam período, versão, fonte ou conclusão.</w:t>
            </w:r>
          </w:p>
        </w:tc>
        <w:tc>
          <w:tcPr>
            <w:tcW w:type="dxa" w:w="3969"/>
            <w:shd w:fill="FFFFFF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>
              <w:t>Solicitar itens prioritários e reaplicar os critérios do gate.</w:t>
            </w:r>
            <w:r>
              <w:rPr>
                <w:rFonts w:ascii="Arial" w:hAnsi="Arial"/>
                <w:b w:val="0"/>
                <w:color w:val="425466"/>
                <w:sz w:val="16"/>
              </w:rPr>
            </w:r>
          </w:p>
        </w:tc>
      </w:tr>
      <w:tr>
        <w:tc>
          <w:tcPr>
            <w:tcW w:type="dxa" w:w="1984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Interromper</w:t>
            </w:r>
          </w:p>
        </w:tc>
        <w:tc>
          <w:tcPr>
            <w:tcW w:type="dxa" w:w="4252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Escopo, conflito, sigilo ou base inviabilizam o trabalho.</w:t>
            </w:r>
          </w:p>
        </w:tc>
        <w:tc>
          <w:tcPr>
            <w:tcW w:type="dxa" w:w="3969"/>
            <w:shd w:fill="F4F6F8"/>
            <w:vAlign w:val="center"/>
            <w:tcBorders>
              <w:top w:val="single" w:sz="4" w:color="44515C"/>
              <w:left w:val="single" w:sz="4" w:color="44515C"/>
              <w:bottom w:val="single" w:sz="4" w:color="44515C"/>
              <w:right w:val="single" w:sz="4" w:color="44515C"/>
            </w:tcBorders>
          </w:tcPr>
          <w:p>
            <w:pPr>
              <w:spacing w:after="0" w:before="0"/>
              <w:jc w:val="left"/>
            </w:pPr>
            <w:r/>
            <w:r>
              <w:rPr>
                <w:rFonts w:ascii="Arial" w:hAnsi="Arial"/>
                <w:b w:val="0"/>
                <w:color w:val="425466"/>
                <w:sz w:val="16"/>
              </w:rPr>
              <w:t>Registrar impedimento e comunicar formalmente.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Arial" w:hAnsi="Arial"/>
          <w:b/>
          <w:color w:val="123456"/>
          <w:sz w:val="30"/>
        </w:rPr>
        <w:t>7. Limites de uso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O KIT é material de organização documental e apoio metodológico.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Não substitui laudo, parecer, inspeção, medição, perícia, ART ou consulta jurídica.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Os casos e imagens são fictícios e não representam pessoas, empresas ou instalações reais.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A licença não autoriza revenda, redistribuição dos arquivos-fonte ou apresentação como autoria própria.</w:t>
      </w:r>
    </w:p>
    <w:p>
      <w:pPr>
        <w:pStyle w:val="ListBullet"/>
        <w:spacing w:after="40"/>
      </w:pPr>
      <w:r>
        <w:rPr>
          <w:rFonts w:ascii="Arial" w:hAnsi="Arial"/>
          <w:color w:val="425466"/>
          <w:sz w:val="18"/>
        </w:rPr>
        <w:t>A aplicação real depende de validação técnica, legal, contratual e profissional.</w:t>
      </w:r>
    </w:p>
    <w:p>
      <w:pPr>
        <w:spacing w:before="120" w:after="80"/>
      </w:pPr>
      <w:r>
        <w:t>8. Organização dos arquivos</w:t>
      </w:r>
    </w:p>
    <w:p>
      <w:pPr>
        <w:spacing w:after="80" w:line="252" w:lineRule="auto"/>
      </w:pPr>
      <w:r>
        <w:t>O pacote está organizado por manual, casos preenchidos, templates, planilhas de controle e termos de uso. Trabalhe sempre em uma cópia extraída do ZIP e mantenha o arquivo original preservado.</w:t>
      </w:r>
    </w:p>
    <w:p>
      <w:pPr>
        <w:spacing w:after="80" w:line="252" w:lineRule="auto"/>
      </w:pPr>
      <w:r>
        <w:t>Nos casos preenchidos, utilize o conteúdo como referência metodológica. Para uma nova demanda, duplique somente os templates em branco e registre os dados do caso concreto.</w:t>
      </w:r>
    </w:p>
    <w:p>
      <w:pPr>
        <w:spacing w:before="120" w:after="80"/>
      </w:pPr>
      <w:r>
        <w:t>9. Checklist para iniciar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65"/>
        <w:gridCol w:w="2565"/>
        <w:gridCol w:w="2565"/>
        <w:gridCol w:w="2565"/>
      </w:tblGrid>
      <w:tr>
        <w:tc>
          <w:tcPr>
            <w:tcW w:type="dxa" w:w="792"/>
            <w:vAlign w:val="center"/>
            <w:shd w:fill="14365D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5"/>
              </w:rPr>
              <w:t>ETAPA</w:t>
            </w:r>
          </w:p>
        </w:tc>
        <w:tc>
          <w:tcPr>
            <w:tcW w:type="dxa" w:w="3240"/>
            <w:vAlign w:val="center"/>
            <w:shd w:fill="14365D"/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VERIFICAÇÃO</w:t>
            </w:r>
          </w:p>
        </w:tc>
        <w:tc>
          <w:tcPr>
            <w:tcW w:type="dxa" w:w="3240"/>
            <w:vAlign w:val="center"/>
            <w:shd w:fill="14365D"/>
          </w:tcPr>
          <w:p>
            <w:pPr>
              <w:spacing w:after="0"/>
            </w:pPr>
            <w:r>
              <w:rPr>
                <w:b/>
                <w:color w:val="FFFFFF"/>
                <w:sz w:val="15"/>
              </w:rPr>
              <w:t>RESULTADO ESPERADO</w:t>
            </w:r>
          </w:p>
        </w:tc>
        <w:tc>
          <w:tcPr>
            <w:tcW w:type="dxa" w:w="576"/>
            <w:vAlign w:val="center"/>
            <w:shd w:fill="14365D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5"/>
              </w:rPr>
              <w:t>OK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1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Preservar o ZIP original e criar uma cópia de trabalho.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Base original mantida sem alterações.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☐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Ler o manual e os termos de uso e licença.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Limites e sequência compreendidos.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☐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Selecionar o caso fictício mais próximo da demanda.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Referência metodológica definida.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☐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4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Duplicar os templates necessários antes de editar.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Arquivos de trabalho separados dos modelos.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☐</w:t>
            </w:r>
          </w:p>
        </w:tc>
      </w:tr>
      <w:tr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5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Confirmar escopo, fontes oficiais, normas e atribuições.</w:t>
            </w:r>
          </w:p>
        </w:tc>
        <w:tc>
          <w:tcPr>
            <w:tcW w:type="dxa" w:w="3240"/>
            <w:vAlign w:val="center"/>
          </w:tcPr>
          <w:p>
            <w:pPr>
              <w:spacing w:after="0"/>
            </w:pPr>
            <w:r>
              <w:rPr>
                <w:b w:val="0"/>
                <w:sz w:val="15"/>
              </w:rPr>
              <w:t>Aplicação preparada para análise profissional.</w:t>
            </w:r>
          </w:p>
        </w:tc>
        <w:tc>
          <w:tcPr>
            <w:tcW w:type="dxa" w:w="576"/>
            <w:vAlign w:val="center"/>
          </w:tcPr>
          <w:p>
            <w:pPr>
              <w:spacing w:after="0"/>
              <w:jc w:val="center"/>
            </w:pPr>
            <w:r>
              <w:rPr>
                <w:b w:val="0"/>
                <w:sz w:val="15"/>
              </w:rPr>
              <w:t>☐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t>10. Uso responsável</w:t>
      </w:r>
    </w:p>
    <w:p>
      <w:pPr>
        <w:spacing w:after="80" w:line="252" w:lineRule="auto"/>
      </w:pPr>
      <w:r>
        <w:t>A estrutura do KIT apoia organização e rastreabilidade, mas não substitui julgamento técnico, vistoria, medição, interpretação normativa, responsabilidade profissional ou documentos exigidos para o caso concreto.</w:t>
      </w:r>
    </w:p>
    <w:p>
      <w:r>
        <w:br w:type="page"/>
      </w:r>
    </w:p>
    <w:p>
      <w:pPr>
        <w:pStyle w:val="KMGAppendixTitle"/>
      </w:pPr>
      <w:r>
        <w:t>GUIA RÁPIDO DE UTILIZAÇÃO</w:t>
      </w:r>
    </w:p>
    <w:p>
      <w:pPr>
        <w:pStyle w:val="KMGSection"/>
      </w:pPr>
      <w:r>
        <w:t>Como usar em 15 minutos</w:t>
      </w:r>
    </w:p>
    <w:p>
      <w:pPr>
        <w:pStyle w:val="ListNumber"/>
      </w:pPr>
      <w:r>
        <w:t>Abra o caso mais próximo da demanda e leia primeiro o STATUS DO CASO.</w:t>
      </w:r>
    </w:p>
    <w:p>
      <w:pPr>
        <w:pStyle w:val="ListNumber"/>
      </w:pPr>
      <w:r>
        <w:t>Cadastre os documentos no inventário sem alterar os originais.</w:t>
      </w:r>
    </w:p>
    <w:p>
      <w:pPr>
        <w:pStyle w:val="ListNumber"/>
      </w:pPr>
      <w:r>
        <w:t>Classifique situação, relevância e confiabilidade de cada EVID.</w:t>
      </w:r>
    </w:p>
    <w:p>
      <w:pPr>
        <w:pStyle w:val="ListNumber"/>
      </w:pPr>
      <w:r>
        <w:t>Relacione fatos, evidências, análise possível e conclusão limitada.</w:t>
      </w:r>
    </w:p>
    <w:p>
      <w:pPr>
        <w:pStyle w:val="ListNumber"/>
      </w:pPr>
      <w:r>
        <w:t>Registre pendências, responsáveis e prazos.</w:t>
      </w:r>
    </w:p>
    <w:p>
      <w:pPr>
        <w:pStyle w:val="ListNumber"/>
      </w:pPr>
      <w:r>
        <w:t>Execute o gate e mantenha o mérito bloqueado quando faltar base.</w:t>
      </w:r>
    </w:p>
    <w:p>
      <w:pPr>
        <w:pStyle w:val="ListNumber"/>
      </w:pPr>
      <w:r>
        <w:t>Elabore a minuta de saída e submeta-a à revisão técnica e normativa.</w:t>
      </w:r>
    </w:p>
    <w:p>
      <w:pPr>
        <w:pStyle w:val="KMGSection"/>
      </w:pPr>
      <w:r>
        <w:t>O que não fazer</w:t>
      </w:r>
    </w:p>
    <w:p>
      <w:pPr>
        <w:pStyle w:val="ListBullet"/>
      </w:pPr>
      <w:r>
        <w:t>Não tratar dashboards como conclusão técnica.</w:t>
      </w:r>
    </w:p>
    <w:p>
      <w:pPr>
        <w:pStyle w:val="ListBullet"/>
      </w:pPr>
      <w:r>
        <w:t>Não copiar narrativas fictícias para casos reais.</w:t>
      </w:r>
    </w:p>
    <w:p>
      <w:pPr>
        <w:pStyle w:val="ListBullet"/>
      </w:pPr>
      <w:r>
        <w:t>Não preencher medidas, datas, versões ou condições por estimativa.</w:t>
      </w:r>
    </w:p>
    <w:p>
      <w:pPr>
        <w:pStyle w:val="ListBullet"/>
      </w:pPr>
      <w:r>
        <w:t>Não distribuir templates-fonte fora da licença.</w:t>
      </w:r>
    </w:p>
    <w:p>
      <w:pPr>
        <w:pStyle w:val="ListBullet"/>
      </w:pPr>
      <w:r>
        <w:t>Não afirmar atualização normativa sem conferência no portal oficial.</w:t>
      </w:r>
    </w:p>
    <w:p>
      <w:pPr>
        <w:pStyle w:val="ListBullet"/>
      </w:pPr>
      <w:r>
        <w:t>Não emitir laudo, parecer, ART ou resposta definitiva sem atribuição e análise profissional.</w:t>
      </w:r>
    </w:p>
    <w:p>
      <w:pPr>
        <w:pStyle w:val="KMGSection"/>
      </w:pPr>
      <w:r>
        <w:t>Arquitetura de códigos e temas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21"/>
        <w:gridCol w:w="3421"/>
        <w:gridCol w:w="3421"/>
      </w:tblGrid>
      <w:tr>
        <w:tc>
          <w:tcPr>
            <w:tcW w:type="dxa" w:w="3421"/>
            <w:vAlign w:val="center"/>
            <w:shd w:fill="173B67"/>
          </w:tcPr>
          <w:p>
            <w:r/>
            <w:r>
              <w:rPr>
                <w:b/>
              </w:rPr>
              <w:t>CÓDIGO</w:t>
            </w:r>
          </w:p>
        </w:tc>
        <w:tc>
          <w:tcPr>
            <w:tcW w:type="dxa" w:w="3421"/>
            <w:vAlign w:val="center"/>
            <w:shd w:fill="173B67"/>
          </w:tcPr>
          <w:p>
            <w:r/>
            <w:r>
              <w:rPr>
                <w:b/>
              </w:rPr>
              <w:t>TEMA</w:t>
            </w:r>
          </w:p>
        </w:tc>
        <w:tc>
          <w:tcPr>
            <w:tcW w:type="dxa" w:w="3421"/>
            <w:vAlign w:val="center"/>
            <w:shd w:fill="173B67"/>
          </w:tcPr>
          <w:p>
            <w:r/>
            <w:r>
              <w:rPr>
                <w:b/>
              </w:rPr>
              <w:t>ARQUIVOS PRINCIPAIS</w:t>
            </w:r>
          </w:p>
        </w:tc>
      </w:tr>
      <w:tr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MOV-001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Movimentação de materiais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Caso preenchido, template e controle XLSX</w:t>
            </w:r>
          </w:p>
        </w:tc>
      </w:tr>
      <w:tr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INS-002</w:t>
            </w:r>
          </w:p>
        </w:tc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Insalubridade - ruído e calor</w:t>
            </w:r>
          </w:p>
        </w:tc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Caso preenchido, template e controle XLSX</w:t>
            </w:r>
          </w:p>
        </w:tc>
      </w:tr>
      <w:tr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PER-003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Periculosidade - GLP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Caso preenchido, template e controle XLSX</w:t>
            </w:r>
          </w:p>
        </w:tc>
      </w:tr>
      <w:tr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MAQ-004</w:t>
            </w:r>
          </w:p>
        </w:tc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Máquina e equipamento</w:t>
            </w:r>
          </w:p>
        </w:tc>
        <w:tc>
          <w:tcPr>
            <w:tcW w:type="dxa" w:w="3421"/>
            <w:vAlign w:val="center"/>
            <w:shd w:fill="F4F7F9"/>
          </w:tcPr>
          <w:p>
            <w:r/>
            <w:r>
              <w:rPr>
                <w:b w:val="0"/>
              </w:rPr>
              <w:t>Caso preenchido, template e controle XLSX</w:t>
            </w:r>
          </w:p>
        </w:tc>
      </w:tr>
      <w:tr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AST-005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Assistência técnica documental</w:t>
            </w:r>
          </w:p>
        </w:tc>
        <w:tc>
          <w:tcPr>
            <w:tcW w:type="dxa" w:w="3421"/>
            <w:vAlign w:val="center"/>
          </w:tcPr>
          <w:p>
            <w:r/>
            <w:r>
              <w:rPr>
                <w:b w:val="0"/>
              </w:rPr>
              <w:t>Caso preenchido, template e controle XLSX</w:t>
            </w:r>
          </w:p>
        </w:tc>
      </w:tr>
    </w:tbl>
    <w:p/>
    <w:p>
      <w:pPr>
        <w:pStyle w:val="KMGSection"/>
      </w:pPr>
      <w:r>
        <w:t>Validação normativa e privacidade</w:t>
      </w:r>
    </w:p>
    <w:p>
      <w:pPr>
        <w:pStyle w:val="KMGNote"/>
      </w:pPr>
      <w:r>
        <w:t>Os textos das Normas Regulamentadoras devem ser confirmados no portal oficial do Ministério do Trabalho e Emprego antes de uso em caso real. O usuário deve limitar o tratamento de dados ao necessário, anonimizar exemplos, controlar acesso e preservar a rastreabilidade das versões.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62"/>
      </w:tblGrid>
      <w:tr>
        <w:tc>
          <w:tcPr>
            <w:tcW w:type="dxa" w:w="10262"/>
            <w:shd w:fill="FFF4D6"/>
            <w:vAlign w:val="center"/>
          </w:tcPr>
          <w:p>
            <w:r>
              <w:t>Uso responsável: confirme fontes oficiais, normas vigentes, condições do caso concreto e atribuições profissionais antes de emitir conclusões, relatórios, pareceres ou outros documentos técnicos.</w:t>
            </w:r>
          </w:p>
        </w:tc>
      </w:tr>
    </w:tbl>
    <w:p/>
    <w:sectPr>
      <w:headerReference w:type="default" r:id="rId9"/>
      <w:footerReference w:type="default" r:id="rId10"/>
      <w:headerReference w:type="first" r:id="rId12"/>
      <w:footerReference w:type="first" r:id="rId13"/>
      <w:headerReference w:type="even" r:id="rId14"/>
      <w:footerReference w:type="even" r:id="rId15"/>
      <w:pgSz w:w="11906" w:h="16838"/>
      <w:pgMar w:top="709" w:right="822" w:bottom="680" w:left="8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PG-001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PG-001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PG-001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6F7C86"/>
        <w:sz w:val="15"/>
      </w:rPr>
      <w:t>KMG ENGINEERING INTELLIGENCE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Title">
    <w:name w:val="KMG Title"/>
    <w:rPr>
      <w:rFonts w:ascii="Arial" w:hAnsi="Arial"/>
      <w:b/>
      <w:color w:val="123456"/>
      <w:sz w:val="44"/>
    </w:r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PG-001 - Manual Profissional do KIT-001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