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MGEyebrow"/>
      </w:pPr>
      <w:r>
        <w:t>KMG BIBLIOTECA TÉCNICA • CASO FICTÍCIO COMPLETO</w:t>
      </w:r>
    </w:p>
    <w:p>
      <w:pPr>
        <w:pStyle w:val="Title"/>
      </w:pPr>
      <w:r>
        <w:t>CASO 02 — INSALUBRIDADE: RUÍDO E CALOR</w:t>
      </w:r>
    </w:p>
    <w:p>
      <w:r>
        <w:rPr>
          <w:color w:val="17365D"/>
          <w:sz w:val="27"/>
        </w:rPr>
        <w:t>Organização documental, temporalidade, representatividade das avaliações e gate técnico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454"/>
      </w:tblGrid>
      <w:tr>
        <w:tc>
          <w:tcPr>
            <w:tcW w:type="dxa" w:w="10454"/>
            <w:shd w:fill="C58A00"/>
            <w:vAlign w:val="center"/>
            <w:tcMar>
              <w:top w:w="140" w:type="dxa"/>
              <w:start w:w="150" w:type="dxa"/>
              <w:bottom w:w="140" w:type="dxa"/>
              <w:end w:w="15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12365F"/>
                <w:sz w:val="20"/>
              </w:rPr>
              <w:t>CASO INTEGRALMENTE FICTÍCIO • FINALIDADE EDUCACIONAL • NÃO CONCLUI ADICIONAL OU DIREITO</w:t>
            </w:r>
          </w:p>
        </w:tc>
      </w:tr>
    </w:tbl>
    <w:p>
      <w:pPr>
        <w:pStyle w:val="KMGQuote"/>
      </w:pPr>
      <w:r>
        <w:t>Este caso demonstra como estruturar uma base documental relacionada a exposição ocupacional a ruído e calor. Os dados, pessoas, empresa, medições e documentos são fictícios. O objetivo é organizar o raciocínio documental, explicitar limitações e decidir se a base permite prosseguir — não caracterizar insalubridade.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5227"/>
            <w:shd w:fill="F4F8FB"/>
            <w:tcMar>
              <w:top w:w="135" w:type="dxa"/>
              <w:start w:w="145" w:type="dxa"/>
              <w:bottom w:w="135" w:type="dxa"/>
              <w:end w:w="145" w:type="dxa"/>
            </w:tcMar>
          </w:tcPr>
          <w:p>
            <w:r/>
            <w:r>
              <w:rPr>
                <w:rFonts w:ascii="Aptos" w:hAnsi="Aptos"/>
                <w:b/>
                <w:color w:val="12365F"/>
                <w:sz w:val="21"/>
              </w:rPr>
              <w:t>EMPRESA FICTÍCIA</w:t>
            </w:r>
          </w:p>
          <w:p>
            <w:pPr>
              <w:spacing w:after="0"/>
            </w:pPr>
            <w:r>
              <w:rPr>
                <w:rFonts w:ascii="Aptos" w:hAnsi="Aptos"/>
                <w:color w:val="24384B"/>
                <w:sz w:val="17"/>
              </w:rPr>
              <w:t>Metalúrgica Vale Claro Ltda. — setor de prensas e tratamento térmico.</w:t>
            </w:r>
          </w:p>
        </w:tc>
        <w:tc>
          <w:tcPr>
            <w:tcW w:type="dxa" w:w="5227"/>
            <w:shd w:fill="F4F8FB"/>
            <w:tcMar>
              <w:top w:w="135" w:type="dxa"/>
              <w:start w:w="145" w:type="dxa"/>
              <w:bottom w:w="135" w:type="dxa"/>
              <w:end w:w="145" w:type="dxa"/>
            </w:tcMar>
          </w:tcPr>
          <w:p>
            <w:r/>
            <w:r>
              <w:rPr>
                <w:rFonts w:ascii="Aptos" w:hAnsi="Aptos"/>
                <w:b/>
                <w:color w:val="17848D"/>
                <w:sz w:val="21"/>
              </w:rPr>
              <w:t>PERÍODO</w:t>
            </w:r>
          </w:p>
          <w:p>
            <w:pPr>
              <w:spacing w:after="0"/>
            </w:pPr>
            <w:r>
              <w:rPr>
                <w:rFonts w:ascii="Aptos" w:hAnsi="Aptos"/>
                <w:color w:val="24384B"/>
                <w:sz w:val="17"/>
              </w:rPr>
              <w:t>Janeiro de 2024 a junho de 2026, com mudança de layout em setembro de 2025.</w:t>
            </w:r>
          </w:p>
        </w:tc>
      </w:tr>
      <w:tr>
        <w:tc>
          <w:tcPr>
            <w:tcW w:type="dxa" w:w="5227"/>
            <w:shd w:fill="F4F8FB"/>
            <w:tcMar>
              <w:top w:w="135" w:type="dxa"/>
              <w:start w:w="145" w:type="dxa"/>
              <w:bottom w:w="135" w:type="dxa"/>
              <w:end w:w="145" w:type="dxa"/>
            </w:tcMar>
          </w:tcPr>
          <w:p>
            <w:r/>
            <w:r>
              <w:rPr>
                <w:rFonts w:ascii="Aptos" w:hAnsi="Aptos"/>
                <w:b/>
                <w:color w:val="C58A00"/>
                <w:sz w:val="21"/>
              </w:rPr>
              <w:t>AGENTES EM ESTUDO</w:t>
            </w:r>
          </w:p>
          <w:p>
            <w:pPr>
              <w:spacing w:after="0"/>
            </w:pPr>
            <w:r>
              <w:rPr>
                <w:rFonts w:ascii="Aptos" w:hAnsi="Aptos"/>
                <w:color w:val="24384B"/>
                <w:sz w:val="17"/>
              </w:rPr>
              <w:t>Ruído contínuo/intermitente e calor em ambiente interno com fontes artificiais.</w:t>
            </w:r>
          </w:p>
        </w:tc>
        <w:tc>
          <w:tcPr>
            <w:tcW w:type="dxa" w:w="5227"/>
            <w:shd w:fill="F4F8FB"/>
            <w:tcMar>
              <w:top w:w="135" w:type="dxa"/>
              <w:start w:w="145" w:type="dxa"/>
              <w:bottom w:w="135" w:type="dxa"/>
              <w:end w:w="145" w:type="dxa"/>
            </w:tcMar>
          </w:tcPr>
          <w:p>
            <w:r/>
            <w:r>
              <w:rPr>
                <w:rFonts w:ascii="Aptos" w:hAnsi="Aptos"/>
                <w:b/>
                <w:color w:val="2F7D32"/>
                <w:sz w:val="21"/>
              </w:rPr>
              <w:t>PERGUNTA DOCUMENTAL</w:t>
            </w:r>
          </w:p>
          <w:p>
            <w:pPr>
              <w:spacing w:after="0"/>
            </w:pPr>
            <w:r>
              <w:rPr>
                <w:rFonts w:ascii="Aptos" w:hAnsi="Aptos"/>
                <w:color w:val="24384B"/>
                <w:sz w:val="17"/>
              </w:rPr>
              <w:t>A base permite relacionar atividades, períodos, avaliações, controles e limitações?</w:t>
            </w:r>
          </w:p>
        </w:tc>
      </w:tr>
    </w:tbl>
    <w:p>
      <w:pPr>
        <w:pStyle w:val="Heading1"/>
      </w:pPr>
      <w:r>
        <w:t>1. Contexto do caso</w:t>
      </w:r>
    </w:p>
    <w:p>
      <w:r>
        <w:t>João F., operador de produção fictício, atuou em jornada diurna no setor de prensas, com alternância para a área de tratamento térmico. O processo foi modificado durante o período: duas prensas foram reposicionadas, uma barreira acústica foi instalada e a rota de abastecimento passou a aproximar o operador da entrada dos fornos em parte do ciclo.</w:t>
      </w:r>
    </w:p>
    <w:p>
      <w:r>
        <w:t>A documentação recebida contém avaliações ambientais anteriores e posteriores à mudança, porém com diferenças de método, período de amostragem e descrição de atividades. Registros de EPI existem, mas a evidência de uso, substituição e orientação não é uniforme.</w:t>
      </w:r>
    </w:p>
    <w:p>
      <w:pPr>
        <w:pStyle w:val="Heading1"/>
      </w:pPr>
      <w:r>
        <w:t>2. Pergunta, limites e premissas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5227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ITEM</w:t>
            </w:r>
          </w:p>
        </w:tc>
        <w:tc>
          <w:tcPr>
            <w:tcW w:type="dxa" w:w="5227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DEFINIÇÃO</w:t>
            </w:r>
          </w:p>
        </w:tc>
      </w:tr>
      <w:tr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Pergunta central</w:t>
            </w:r>
          </w:p>
        </w:tc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A base documental é suficiente para compreender a exposição ocupacional, seus períodos, avaliações e controles?</w:t>
            </w:r>
          </w:p>
        </w:tc>
      </w:tr>
      <w:tr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Não faz parte</w:t>
            </w:r>
          </w:p>
        </w:tc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Concluir adicional, grau de insalubridade, nexo, responsabilidade ou eficácia jurídica de EPI.</w:t>
            </w:r>
          </w:p>
        </w:tc>
      </w:tr>
      <w:tr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Período analisado</w:t>
            </w:r>
          </w:p>
        </w:tc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01/2024 a 06/2026.</w:t>
            </w:r>
          </w:p>
        </w:tc>
      </w:tr>
      <w:tr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Unidade de análise</w:t>
            </w:r>
          </w:p>
        </w:tc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Função, atividades, áreas, turnos, mudanças de processo e avaliações correspondentes.</w:t>
            </w:r>
          </w:p>
        </w:tc>
      </w:tr>
      <w:tr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Regra temporal</w:t>
            </w:r>
          </w:p>
        </w:tc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Cada documento deve ser vinculado ao período e ao layout que representa.</w:t>
            </w:r>
          </w:p>
        </w:tc>
      </w:tr>
      <w:tr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Regra de representatividade</w:t>
            </w:r>
          </w:p>
        </w:tc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Medições só podem ser comparadas quando atividade, ciclo, método, condições e instrumentos estiverem documentados.</w:t>
            </w:r>
          </w:p>
        </w:tc>
      </w:tr>
    </w:tbl>
    <w:p>
      <w:pPr>
        <w:pStyle w:val="Heading1"/>
      </w:pPr>
      <w:r>
        <w:t>3. Linha do tempo documental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3485"/>
        <w:gridCol w:w="3485"/>
        <w:gridCol w:w="3485"/>
      </w:tblGrid>
      <w:tr>
        <w:tc>
          <w:tcPr>
            <w:tcW w:type="dxa" w:w="3485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DATA/PERÍODO</w:t>
            </w:r>
          </w:p>
        </w:tc>
        <w:tc>
          <w:tcPr>
            <w:tcW w:type="dxa" w:w="3485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EVENTO OU DOCUMENTO</w:t>
            </w:r>
          </w:p>
        </w:tc>
        <w:tc>
          <w:tcPr>
            <w:tcW w:type="dxa" w:w="3485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IMPACTO</w:t>
            </w:r>
          </w:p>
        </w:tc>
      </w:tr>
      <w:tr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01/2024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Início do período fictício.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Define marco temporal.</w:t>
            </w:r>
          </w:p>
        </w:tc>
      </w:tr>
      <w:tr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03/2024</w:t>
            </w:r>
          </w:p>
        </w:tc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LTCAT disponível, baseado no layout anterior.</w:t>
            </w:r>
          </w:p>
        </w:tc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Pode não representar períodos posteriores.</w:t>
            </w:r>
          </w:p>
        </w:tc>
      </w:tr>
      <w:tr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06/2024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Dosimetria de ruído em jornada parcial.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Exige verificar ciclo e projeção.</w:t>
            </w:r>
          </w:p>
        </w:tc>
      </w:tr>
      <w:tr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11/2024</w:t>
            </w:r>
          </w:p>
        </w:tc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Avaliação de calor próxima ao forno 1.</w:t>
            </w:r>
          </w:p>
        </w:tc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Descrição de atividade e taxa metabólica incompletas.</w:t>
            </w:r>
          </w:p>
        </w:tc>
      </w:tr>
      <w:tr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04/2025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PGR revisado com inventário de riscos.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Ainda utiliza mapa do layout antigo.</w:t>
            </w:r>
          </w:p>
        </w:tc>
      </w:tr>
      <w:tr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09/2025</w:t>
            </w:r>
          </w:p>
        </w:tc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Mudança de layout e instalação de barreira acústica.</w:t>
            </w:r>
          </w:p>
        </w:tc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Cria novo período homogêneo.</w:t>
            </w:r>
          </w:p>
        </w:tc>
      </w:tr>
      <w:tr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12/2025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Nova dosimetria de ruído.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Relatório não descreve alternância para tratamento térmico.</w:t>
            </w:r>
          </w:p>
        </w:tc>
      </w:tr>
      <w:tr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02/2026</w:t>
            </w:r>
          </w:p>
        </w:tc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Avaliação de calor em produção reduzida.</w:t>
            </w:r>
          </w:p>
        </w:tc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Representatividade questionável.</w:t>
            </w:r>
          </w:p>
        </w:tc>
      </w:tr>
      <w:tr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06/2026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Solicitação de análise documental.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Abre o gate do caso.</w:t>
            </w:r>
          </w:p>
        </w:tc>
      </w:tr>
    </w:tbl>
    <w:p>
      <w:r/>
    </w:p>
    <w:p>
      <w:pPr>
        <w:pStyle w:val="Heading1"/>
      </w:pPr>
      <w:r>
        <w:t>4. Inventário documental fictício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2091"/>
        <w:gridCol w:w="2091"/>
        <w:gridCol w:w="2091"/>
        <w:gridCol w:w="2091"/>
        <w:gridCol w:w="2091"/>
      </w:tblGrid>
      <w:tr>
        <w:tc>
          <w:tcPr>
            <w:tcW w:type="dxa" w:w="2091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ID</w:t>
            </w:r>
          </w:p>
        </w:tc>
        <w:tc>
          <w:tcPr>
            <w:tcW w:type="dxa" w:w="2091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DOCUMENTO</w:t>
            </w:r>
          </w:p>
        </w:tc>
        <w:tc>
          <w:tcPr>
            <w:tcW w:type="dxa" w:w="2091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STATUS</w:t>
            </w:r>
          </w:p>
        </w:tc>
        <w:tc>
          <w:tcPr>
            <w:tcW w:type="dxa" w:w="2091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RELEVÂNCIA</w:t>
            </w:r>
          </w:p>
        </w:tc>
        <w:tc>
          <w:tcPr>
            <w:tcW w:type="dxa" w:w="2091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NOTA DE CONTROLE</w:t>
            </w:r>
          </w:p>
        </w:tc>
      </w:tr>
      <w:tr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DOC-001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Descrição de função 2024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Recebido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Essencial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Genérica; não registra alternância de áreas.</w:t>
            </w:r>
          </w:p>
        </w:tc>
      </w:tr>
      <w:tr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DOC-002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Descrição de função 2026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Recebido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Essencial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Inclui apoio ao tratamento térmico, sem frequência.</w:t>
            </w:r>
          </w:p>
        </w:tc>
      </w:tr>
      <w:tr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DOC-003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PGR revisão 2025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Recebido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Essencial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Mapa anterior à mudança de layout.</w:t>
            </w:r>
          </w:p>
        </w:tc>
      </w:tr>
      <w:tr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DOC-004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PGR revisão 2026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Pendente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Essencial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Necessário para o período pós-mudança.</w:t>
            </w:r>
          </w:p>
        </w:tc>
      </w:tr>
      <w:tr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DOC-005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LTCAT 2024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Recebido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Essencial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Representa layout anterior.</w:t>
            </w:r>
          </w:p>
        </w:tc>
      </w:tr>
      <w:tr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DOC-006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Dosimetria de ruído 06/2024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Recebido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Essencial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Jornada parcial; ciclo não descrito integralmente.</w:t>
            </w:r>
          </w:p>
        </w:tc>
      </w:tr>
      <w:tr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DOC-007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Dosimetria de ruído 12/2025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Recebido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Essencial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Não registra alternância de setores.</w:t>
            </w:r>
          </w:p>
        </w:tc>
      </w:tr>
      <w:tr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DOC-008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Certificado de calibração — ruído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Recebido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Essencial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Vigência aparentemente compatível; confirmar cadeia.</w:t>
            </w:r>
          </w:p>
        </w:tc>
      </w:tr>
      <w:tr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DOC-009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Avaliação de calor 11/2024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Recebido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Essencial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Taxa metabólica e sequência de atividades incompletas.</w:t>
            </w:r>
          </w:p>
        </w:tc>
      </w:tr>
      <w:tr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DOC-010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Avaliação de calor 02/2026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Recebido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Essencial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Produção reduzida no dia.</w:t>
            </w:r>
          </w:p>
        </w:tc>
      </w:tr>
      <w:tr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DOC-011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Certificado de calibração — calor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Recebido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Essencial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Conferir identificação do conjunto.</w:t>
            </w:r>
          </w:p>
        </w:tc>
      </w:tr>
      <w:tr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DOC-012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Fichas de EPI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Recebido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Complementar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Entregas registradas; substituição irregular.</w:t>
            </w:r>
          </w:p>
        </w:tc>
      </w:tr>
      <w:tr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DOC-013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Treinamentos de EPI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Recebido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Complementar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Conteúdo genérico.</w:t>
            </w:r>
          </w:p>
        </w:tc>
      </w:tr>
      <w:tr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DOC-014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Registros de manutenção da barreira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Pendente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Complementar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Necessário para confirmar período de efetividade.</w:t>
            </w:r>
          </w:p>
        </w:tc>
      </w:tr>
      <w:tr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DOC-015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PCMSO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Recebido restrito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Contextual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Acesso mínimo; não incorporar dados clínicos desnecessários.</w:t>
            </w:r>
          </w:p>
        </w:tc>
      </w:tr>
      <w:tr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DOC-016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Registros de produção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Parcial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Essencial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Faltam dados do dia das avaliações.</w:t>
            </w:r>
          </w:p>
        </w:tc>
      </w:tr>
      <w:tr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DOC-017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Entrevista com operador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Recebido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Complementar</w:t>
            </w:r>
          </w:p>
        </w:tc>
        <w:tc>
          <w:tcPr>
            <w:tcW w:type="dxa" w:w="209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Indica variação de tempo junto aos fornos.</w:t>
            </w:r>
          </w:p>
        </w:tc>
      </w:tr>
      <w:tr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DOC-018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Layouts 2024 e 2025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Recebido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Essencial</w:t>
            </w:r>
          </w:p>
        </w:tc>
        <w:tc>
          <w:tcPr>
            <w:tcW w:type="dxa" w:w="2091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Permitem separar períodos.</w:t>
            </w:r>
          </w:p>
        </w:tc>
      </w:tr>
    </w:tbl>
    <w:p>
      <w:pPr>
        <w:pStyle w:val="Heading1"/>
      </w:pPr>
      <w:r>
        <w:t>5. Estrutura de pastas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5227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PASTA</w:t>
            </w:r>
          </w:p>
        </w:tc>
        <w:tc>
          <w:tcPr>
            <w:tcW w:type="dxa" w:w="5227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CONTEÚDO</w:t>
            </w:r>
          </w:p>
        </w:tc>
      </w:tr>
      <w:tr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00_ADMIN</w:t>
            </w:r>
          </w:p>
        </w:tc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Escopo, identificação, controle de acesso e histórico.</w:t>
            </w:r>
          </w:p>
        </w:tc>
      </w:tr>
      <w:tr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01_RECEBIDOS_ORIGINAIS</w:t>
            </w:r>
          </w:p>
        </w:tc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Arquivos preservados sem alteração.</w:t>
            </w:r>
          </w:p>
        </w:tc>
      </w:tr>
      <w:tr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02_ATIVIDADES_E_PERIODOS</w:t>
            </w:r>
          </w:p>
        </w:tc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Funções, turnos, entrevistas, produção e layouts.</w:t>
            </w:r>
          </w:p>
        </w:tc>
      </w:tr>
      <w:tr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03_RUIDO</w:t>
            </w:r>
          </w:p>
        </w:tc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Relatórios, dosimetrias, calibrações, memória e controles.</w:t>
            </w:r>
          </w:p>
        </w:tc>
      </w:tr>
      <w:tr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04_CALOR</w:t>
            </w:r>
          </w:p>
        </w:tc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Relatórios, IBUTG, ciclos, metabolismo, calibrações e controles.</w:t>
            </w:r>
          </w:p>
        </w:tc>
      </w:tr>
      <w:tr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05_EPI_E_EPC</w:t>
            </w:r>
          </w:p>
        </w:tc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Fichas, treinamentos, manutenção, barreiras e registros.</w:t>
            </w:r>
          </w:p>
        </w:tc>
      </w:tr>
      <w:tr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06_SST</w:t>
            </w:r>
          </w:p>
        </w:tc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PGR, LTCAT, PCMSO com acesso restrito e documentos correlatos.</w:t>
            </w:r>
          </w:p>
        </w:tc>
      </w:tr>
      <w:tr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07_EVIDENCIAS</w:t>
            </w:r>
          </w:p>
        </w:tc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Índice, cronologia, matrizes e confiabilidade.</w:t>
            </w:r>
          </w:p>
        </w:tc>
      </w:tr>
      <w:tr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08_PENDENCIAS</w:t>
            </w:r>
          </w:p>
        </w:tc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Solicitações, prazos, respostas e impacto.</w:t>
            </w:r>
          </w:p>
        </w:tc>
      </w:tr>
      <w:tr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09_GATE_E_SAIDAS</w:t>
            </w:r>
          </w:p>
        </w:tc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5"/>
              </w:rPr>
              <w:t>Decisão de prontidão, ressalvas e versões emitidas.</w:t>
            </w:r>
          </w:p>
        </w:tc>
      </w:tr>
    </w:tbl>
    <w:p>
      <w:r/>
    </w:p>
    <w:p>
      <w:pPr>
        <w:pStyle w:val="Heading1"/>
      </w:pPr>
      <w:r>
        <w:t>6. Organização das avaliações de ruído</w:t>
      </w:r>
    </w:p>
    <w:p>
      <w:r>
        <w:t>As avaliações fictícias não devem ser comparadas apenas pelos números finais. Antes de qualquer julgamento, é preciso verificar a jornada representada, o ciclo de trabalho, as fontes dominantes, o instrumento, a calibração, os parâmetros adotados e as mudanças de processo.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2613"/>
        <w:gridCol w:w="2613"/>
        <w:gridCol w:w="2613"/>
        <w:gridCol w:w="2613"/>
      </w:tblGrid>
      <w:tr>
        <w:tc>
          <w:tcPr>
            <w:tcW w:type="dxa" w:w="2613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CRITÉRIO</w:t>
            </w:r>
          </w:p>
        </w:tc>
        <w:tc>
          <w:tcPr>
            <w:tcW w:type="dxa" w:w="2613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AVALIAÇÃO 06/2024</w:t>
            </w:r>
          </w:p>
        </w:tc>
        <w:tc>
          <w:tcPr>
            <w:tcW w:type="dxa" w:w="2613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AVALIAÇÃO 12/2025</w:t>
            </w:r>
          </w:p>
        </w:tc>
        <w:tc>
          <w:tcPr>
            <w:tcW w:type="dxa" w:w="2613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LACUNA</w:t>
            </w:r>
          </w:p>
        </w:tc>
      </w:tr>
      <w:tr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Layout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Anterior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Posterior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Comparar apenas dentro do período correto.</w:t>
            </w:r>
          </w:p>
        </w:tc>
      </w:tr>
      <w:tr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Jornada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Amostragem parcial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Quase integral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Método de projeção não detalhado em 2024.</w:t>
            </w:r>
          </w:p>
        </w:tc>
      </w:tr>
      <w:tr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Atividades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Prensas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Prensas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Alternância ao tratamento térmico não registrada.</w:t>
            </w:r>
          </w:p>
        </w:tc>
      </w:tr>
      <w:tr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Condição produtiva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Normal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Normal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Confirmar ordens de produção.</w:t>
            </w:r>
          </w:p>
        </w:tc>
      </w:tr>
      <w:tr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Instrumento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Identificado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Identificado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Cadeia de calibração a confirmar.</w:t>
            </w:r>
          </w:p>
        </w:tc>
      </w:tr>
      <w:tr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Resultado fictício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Dose indicada no relatório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Dose indicada no relatório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Não usar isoladamente para concluir.</w:t>
            </w:r>
          </w:p>
        </w:tc>
      </w:tr>
      <w:tr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Controle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Sem barreira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Com barreira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Falta manutenção e data de efetividade.</w:t>
            </w:r>
          </w:p>
        </w:tc>
      </w:tr>
    </w:tbl>
    <w:p>
      <w:pPr>
        <w:pStyle w:val="KMGQuote"/>
      </w:pPr>
      <w:r>
        <w:t>Nota de campo: dois relatórios podem estar tecnicamente corretos e ainda assim não serem comparáveis. A primeira pergunta não é 'qual valor foi maior?', mas 'o que cada avaliação realmente representa?'.</w:t>
      </w:r>
    </w:p>
    <w:p>
      <w:pPr>
        <w:pStyle w:val="Heading1"/>
      </w:pPr>
      <w:r>
        <w:t>7. Organização das avaliações de calor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2613"/>
        <w:gridCol w:w="2613"/>
        <w:gridCol w:w="2613"/>
        <w:gridCol w:w="2613"/>
      </w:tblGrid>
      <w:tr>
        <w:tc>
          <w:tcPr>
            <w:tcW w:type="dxa" w:w="2613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CRITÉRIO</w:t>
            </w:r>
          </w:p>
        </w:tc>
        <w:tc>
          <w:tcPr>
            <w:tcW w:type="dxa" w:w="2613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AVALIAÇÃO 11/2024</w:t>
            </w:r>
          </w:p>
        </w:tc>
        <w:tc>
          <w:tcPr>
            <w:tcW w:type="dxa" w:w="2613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AVALIAÇÃO 02/2026</w:t>
            </w:r>
          </w:p>
        </w:tc>
        <w:tc>
          <w:tcPr>
            <w:tcW w:type="dxa" w:w="2613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LACUNA</w:t>
            </w:r>
          </w:p>
        </w:tc>
      </w:tr>
      <w:tr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Layout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Anterior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Posterior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Separar períodos.</w:t>
            </w:r>
          </w:p>
        </w:tc>
      </w:tr>
      <w:tr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Fonte artificial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Fornos 1 e 2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Fornos 1 e 2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Confirmar regime real de operação.</w:t>
            </w:r>
          </w:p>
        </w:tc>
      </w:tr>
      <w:tr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Produção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Rotina informada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Produção reduzida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Representatividade de 2026 limitada.</w:t>
            </w:r>
          </w:p>
        </w:tc>
      </w:tr>
      <w:tr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Ciclo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Incompleto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Parcial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Falta tempo detalhado por atividade/local.</w:t>
            </w:r>
          </w:p>
        </w:tc>
      </w:tr>
      <w:tr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Taxa metabólica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Não justificada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Estimativa genérica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Requer vínculo com atividades observadas.</w:t>
            </w:r>
          </w:p>
        </w:tc>
      </w:tr>
      <w:tr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Vestimenta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Descrita parcialmente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Descrita parcialmente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Confirmar conjunto efetivamente usado.</w:t>
            </w:r>
          </w:p>
        </w:tc>
      </w:tr>
      <w:tr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Instrumento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Identificado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Identificado</w:t>
            </w:r>
          </w:p>
        </w:tc>
        <w:tc>
          <w:tcPr>
            <w:tcW w:type="dxa" w:w="2613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Conferir montagem, posicionamento e calibração.</w:t>
            </w:r>
          </w:p>
        </w:tc>
      </w:tr>
      <w:tr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Resultado fictício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IBUTG indicado no relatório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IBUTG indicado no relatório</w:t>
            </w:r>
          </w:p>
        </w:tc>
        <w:tc>
          <w:tcPr>
            <w:tcW w:type="dxa" w:w="2613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Sem base para conclusão isolada.</w:t>
            </w:r>
          </w:p>
        </w:tc>
      </w:tr>
    </w:tbl>
    <w:p>
      <w:pPr>
        <w:pStyle w:val="KMGQuote"/>
      </w:pPr>
      <w:r>
        <w:t>A NR-9 vigente organiza a avaliação e o controle das exposições ocupacionais, enquanto a NR-15 reúne critérios para atividades e operações insalubres. Para calor, a metodologia e os procedimentos devem ser verificados em conjunto com a referência técnica aplicável da Fundacentro.</w:t>
      </w:r>
    </w:p>
    <w:p>
      <w:r/>
    </w:p>
    <w:p>
      <w:pPr>
        <w:pStyle w:val="Heading1"/>
      </w:pPr>
      <w:r>
        <w:t>8. Matriz fato × evidência × período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742"/>
        <w:gridCol w:w="1742"/>
        <w:gridCol w:w="1742"/>
        <w:gridCol w:w="1742"/>
        <w:gridCol w:w="1742"/>
        <w:gridCol w:w="1742"/>
      </w:tblGrid>
      <w:tr>
        <w:tc>
          <w:tcPr>
            <w:tcW w:type="dxa" w:w="1742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FATO</w:t>
            </w:r>
          </w:p>
        </w:tc>
        <w:tc>
          <w:tcPr>
            <w:tcW w:type="dxa" w:w="1742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DESCRIÇÃO</w:t>
            </w:r>
          </w:p>
        </w:tc>
        <w:tc>
          <w:tcPr>
            <w:tcW w:type="dxa" w:w="1742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EVIDÊNCIA</w:t>
            </w:r>
          </w:p>
        </w:tc>
        <w:tc>
          <w:tcPr>
            <w:tcW w:type="dxa" w:w="1742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PERÍODO</w:t>
            </w:r>
          </w:p>
        </w:tc>
        <w:tc>
          <w:tcPr>
            <w:tcW w:type="dxa" w:w="1742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CONFIABILIDADE</w:t>
            </w:r>
          </w:p>
        </w:tc>
        <w:tc>
          <w:tcPr>
            <w:tcW w:type="dxa" w:w="1742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LACUNA</w:t>
            </w:r>
          </w:p>
        </w:tc>
      </w:tr>
      <w:tr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F-01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O trabalhador atuava em prensas.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DOC-001, DOC-002, produção.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01/2024-06/2026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Alta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Frequência de alternância não descrita.</w:t>
            </w:r>
          </w:p>
        </w:tc>
      </w:tr>
      <w:tr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F-02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Havia acesso ao tratamento térmico.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DOC-002, entrevista.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Período posterior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Média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Falta registro objetivo de tempo.</w:t>
            </w:r>
          </w:p>
        </w:tc>
      </w:tr>
      <w:tr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F-03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O layout mudou em 09/2025.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Layouts e registros de mudança.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Antes/depois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Alta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PGR pós-mudança pendente.</w:t>
            </w:r>
          </w:p>
        </w:tc>
      </w:tr>
      <w:tr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F-04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Foi instalada barreira acústica.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Relatos e layout.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Após 09/2025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Média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Data de efetividade/manutenção pendente.</w:t>
            </w:r>
          </w:p>
        </w:tc>
      </w:tr>
      <w:tr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F-05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Há avaliações de ruído em dois períodos.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DOC-006 e DOC-007.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2024 e 2025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Alta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Representatividade e critérios diferem.</w:t>
            </w:r>
          </w:p>
        </w:tc>
      </w:tr>
      <w:tr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F-06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Há avaliações de calor em dois períodos.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DOC-009 e DOC-010.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2024 e 2026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Alta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Ciclos e condições produtivas incompletos.</w:t>
            </w:r>
          </w:p>
        </w:tc>
      </w:tr>
      <w:tr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F-07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EPI foi entregue.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DOC-012.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Período amplo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Alta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Uso, troca e orientação não uniformes.</w:t>
            </w:r>
          </w:p>
        </w:tc>
      </w:tr>
      <w:tr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F-08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Os documentos de gestão não cobrem todo o período.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DOC-003; DOC-004 pendente.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Pós-mudança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Alta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Inventário de riscos atualizado ausente.</w:t>
            </w:r>
          </w:p>
        </w:tc>
      </w:tr>
    </w:tbl>
    <w:p>
      <w:pPr>
        <w:pStyle w:val="Heading1"/>
      </w:pPr>
      <w:r>
        <w:t>9. Controle de pendências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742"/>
        <w:gridCol w:w="1742"/>
        <w:gridCol w:w="1742"/>
        <w:gridCol w:w="1742"/>
        <w:gridCol w:w="1742"/>
        <w:gridCol w:w="1742"/>
      </w:tblGrid>
      <w:tr>
        <w:tc>
          <w:tcPr>
            <w:tcW w:type="dxa" w:w="1742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ID</w:t>
            </w:r>
          </w:p>
        </w:tc>
        <w:tc>
          <w:tcPr>
            <w:tcW w:type="dxa" w:w="1742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AÇÃO</w:t>
            </w:r>
          </w:p>
        </w:tc>
        <w:tc>
          <w:tcPr>
            <w:tcW w:type="dxa" w:w="1742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RESPONSÁVEL</w:t>
            </w:r>
          </w:p>
        </w:tc>
        <w:tc>
          <w:tcPr>
            <w:tcW w:type="dxa" w:w="1742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PRAZO</w:t>
            </w:r>
          </w:p>
        </w:tc>
        <w:tc>
          <w:tcPr>
            <w:tcW w:type="dxa" w:w="1742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IMPACTO</w:t>
            </w:r>
          </w:p>
        </w:tc>
        <w:tc>
          <w:tcPr>
            <w:tcW w:type="dxa" w:w="1742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JUSTIFICATIVA</w:t>
            </w:r>
          </w:p>
        </w:tc>
      </w:tr>
      <w:tr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P-01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Obter PGR/inventário posterior à mudança de layout.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SST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5 dias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Vincula riscos e controles ao período.</w:t>
            </w:r>
          </w:p>
        </w:tc>
      </w:tr>
      <w:tr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P-02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Detalhar alternância entre prensas e tratamento térmico.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Produção/RH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5 dias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Define grupos e ciclos.</w:t>
            </w:r>
          </w:p>
        </w:tc>
      </w:tr>
      <w:tr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P-03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Obter registros de produção dos dias avaliados.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Produção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3 dias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Testa representatividade.</w:t>
            </w:r>
          </w:p>
        </w:tc>
      </w:tr>
      <w:tr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P-04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Confirmar parâmetros e memória da dosimetria 2024.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Higiene ocupacional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5 dias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Permite compreender o resultado.</w:t>
            </w:r>
          </w:p>
        </w:tc>
      </w:tr>
      <w:tr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P-05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Detalhar ciclo e taxa metabólica das avaliações de calor.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Higiene ocupacional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5 dias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Essencial para análise.</w:t>
            </w:r>
          </w:p>
        </w:tc>
      </w:tr>
      <w:tr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P-06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Obter manutenção e efetividade da barreira acústica.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Manutenção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7 dias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Médio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Relaciona controle ao período.</w:t>
            </w:r>
          </w:p>
        </w:tc>
      </w:tr>
      <w:tr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P-07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Consolidar fichas de EPI, trocas e treinamentos.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SST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7 dias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Médio</w:t>
            </w:r>
          </w:p>
        </w:tc>
        <w:tc>
          <w:tcPr>
            <w:tcW w:type="dxa" w:w="1742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Organiza evidência de gestão.</w:t>
            </w:r>
          </w:p>
        </w:tc>
      </w:tr>
      <w:tr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P-08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Confirmar certificados e identificação dos instrumentos.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Fornecedor/SST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5 dias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Médio</w:t>
            </w:r>
          </w:p>
        </w:tc>
        <w:tc>
          <w:tcPr>
            <w:tcW w:type="dxa" w:w="1742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Garante rastreabilidade.</w:t>
            </w:r>
          </w:p>
        </w:tc>
      </w:tr>
    </w:tbl>
    <w:p>
      <w:r/>
    </w:p>
    <w:p>
      <w:pPr>
        <w:pStyle w:val="Heading1"/>
      </w:pPr>
      <w:r>
        <w:t>10. Gate pré-análise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3485"/>
        <w:gridCol w:w="3485"/>
        <w:gridCol w:w="3485"/>
      </w:tblGrid>
      <w:tr>
        <w:tc>
          <w:tcPr>
            <w:tcW w:type="dxa" w:w="3485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CRITÉRIO</w:t>
            </w:r>
          </w:p>
        </w:tc>
        <w:tc>
          <w:tcPr>
            <w:tcW w:type="dxa" w:w="3485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STATUS</w:t>
            </w:r>
          </w:p>
        </w:tc>
        <w:tc>
          <w:tcPr>
            <w:tcW w:type="dxa" w:w="3485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JUSTIFICATIVA</w:t>
            </w:r>
          </w:p>
        </w:tc>
      </w:tr>
      <w:tr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Escopo e período definidos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Atendido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Pergunta e período estabelecidos.</w:t>
            </w:r>
          </w:p>
        </w:tc>
      </w:tr>
      <w:tr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Atividades e grupos homogêneos compreendidos</w:t>
            </w:r>
          </w:p>
        </w:tc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Parcial</w:t>
            </w:r>
          </w:p>
        </w:tc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Alternância e frequência ainda incompletas.</w:t>
            </w:r>
          </w:p>
        </w:tc>
      </w:tr>
      <w:tr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Mudanças de layout segregadas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Atendido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Dois períodos identificados.</w:t>
            </w:r>
          </w:p>
        </w:tc>
      </w:tr>
      <w:tr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Avaliações de ruído representativas</w:t>
            </w:r>
          </w:p>
        </w:tc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Parcial</w:t>
            </w:r>
          </w:p>
        </w:tc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Metodologia e alternância precisam de confirmação.</w:t>
            </w:r>
          </w:p>
        </w:tc>
      </w:tr>
      <w:tr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Avaliações de calor representativas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Não atendido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Ciclo, produção e metabolismo insuficientes.</w:t>
            </w:r>
          </w:p>
        </w:tc>
      </w:tr>
      <w:tr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Controles coletivos documentados</w:t>
            </w:r>
          </w:p>
        </w:tc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Parcial</w:t>
            </w:r>
          </w:p>
        </w:tc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Barreira sem histórico completo.</w:t>
            </w:r>
          </w:p>
        </w:tc>
      </w:tr>
      <w:tr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EPI documentado de forma rastreável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Parcial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Entrega existe; uso e substituição não uniformes.</w:t>
            </w:r>
          </w:p>
        </w:tc>
      </w:tr>
      <w:tr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Documentos de gestão atualizados</w:t>
            </w:r>
          </w:p>
        </w:tc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Não atendido</w:t>
            </w:r>
          </w:p>
        </w:tc>
        <w:tc>
          <w:tcPr>
            <w:tcW w:type="dxa" w:w="3485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PGR pós-mudança pendente.</w:t>
            </w:r>
          </w:p>
        </w:tc>
      </w:tr>
      <w:tr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Base suficiente para conclusão técnica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Não atendido</w:t>
            </w:r>
          </w:p>
        </w:tc>
        <w:tc>
          <w:tcPr>
            <w:tcW w:type="dxa" w:w="348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Pendências críticas impedem conclusão.</w:t>
            </w:r>
          </w:p>
        </w:tc>
      </w:tr>
    </w:tbl>
    <w:p>
      <w:pPr>
        <w:pStyle w:val="KMGQuote"/>
      </w:pPr>
      <w:r>
        <w:t>DECISÃO DEMONSTRATIVA: AVANÇAR COM RESSALVAS APENAS PARA COMPLEMENTAÇÃO E ORGANIZAÇÃO. A base ainda não sustenta conclusão sobre caracterização, grau, eficácia de controles ou direito a adicional.</w:t>
      </w:r>
    </w:p>
    <w:p>
      <w:pPr>
        <w:pStyle w:val="Heading1"/>
      </w:pPr>
      <w:r>
        <w:t>11. Como reutilizar o método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5227"/>
            <w:shd w:fill="F4F8FB"/>
            <w:tcMar>
              <w:top w:w="135" w:type="dxa"/>
              <w:start w:w="145" w:type="dxa"/>
              <w:bottom w:w="135" w:type="dxa"/>
              <w:end w:w="145" w:type="dxa"/>
            </w:tcMar>
          </w:tcPr>
          <w:p>
            <w:r/>
            <w:r>
              <w:rPr>
                <w:rFonts w:ascii="Aptos" w:hAnsi="Aptos"/>
                <w:b/>
                <w:color w:val="12365F"/>
                <w:sz w:val="21"/>
              </w:rPr>
              <w:t>SEPARAR PERÍODOS</w:t>
            </w:r>
          </w:p>
          <w:p>
            <w:pPr>
              <w:spacing w:after="0"/>
            </w:pPr>
            <w:r>
              <w:rPr>
                <w:rFonts w:ascii="Aptos" w:hAnsi="Aptos"/>
                <w:color w:val="24384B"/>
                <w:sz w:val="17"/>
              </w:rPr>
              <w:t>Mudanças de layout, processo, função ou controle criam recortes distintos.</w:t>
            </w:r>
          </w:p>
        </w:tc>
        <w:tc>
          <w:tcPr>
            <w:tcW w:type="dxa" w:w="5227"/>
            <w:shd w:fill="F4F8FB"/>
            <w:tcMar>
              <w:top w:w="135" w:type="dxa"/>
              <w:start w:w="145" w:type="dxa"/>
              <w:bottom w:w="135" w:type="dxa"/>
              <w:end w:w="145" w:type="dxa"/>
            </w:tcMar>
          </w:tcPr>
          <w:p>
            <w:r/>
            <w:r>
              <w:rPr>
                <w:rFonts w:ascii="Aptos" w:hAnsi="Aptos"/>
                <w:b/>
                <w:color w:val="17848D"/>
                <w:sz w:val="21"/>
              </w:rPr>
              <w:t>TESTAR REPRESENTATIVIDADE</w:t>
            </w:r>
          </w:p>
          <w:p>
            <w:pPr>
              <w:spacing w:after="0"/>
            </w:pPr>
            <w:r>
              <w:rPr>
                <w:rFonts w:ascii="Aptos" w:hAnsi="Aptos"/>
                <w:color w:val="24384B"/>
                <w:sz w:val="17"/>
              </w:rPr>
              <w:t>A medição deve representar a atividade e o ciclo documentados.</w:t>
            </w:r>
          </w:p>
        </w:tc>
      </w:tr>
      <w:tr>
        <w:tc>
          <w:tcPr>
            <w:tcW w:type="dxa" w:w="5227"/>
            <w:shd w:fill="F4F8FB"/>
            <w:tcMar>
              <w:top w:w="135" w:type="dxa"/>
              <w:start w:w="145" w:type="dxa"/>
              <w:bottom w:w="135" w:type="dxa"/>
              <w:end w:w="145" w:type="dxa"/>
            </w:tcMar>
          </w:tcPr>
          <w:p>
            <w:r/>
            <w:r>
              <w:rPr>
                <w:rFonts w:ascii="Aptos" w:hAnsi="Aptos"/>
                <w:b/>
                <w:color w:val="C58A00"/>
                <w:sz w:val="21"/>
              </w:rPr>
              <w:t>LIGAR FATO À FONTE</w:t>
            </w:r>
          </w:p>
          <w:p>
            <w:pPr>
              <w:spacing w:after="0"/>
            </w:pPr>
            <w:r>
              <w:rPr>
                <w:rFonts w:ascii="Aptos" w:hAnsi="Aptos"/>
                <w:color w:val="24384B"/>
                <w:sz w:val="17"/>
              </w:rPr>
              <w:t>Cada afirmação precisa de documento, período e avaliação de confiabilidade.</w:t>
            </w:r>
          </w:p>
        </w:tc>
        <w:tc>
          <w:tcPr>
            <w:tcW w:type="dxa" w:w="5227"/>
            <w:shd w:fill="F4F8FB"/>
            <w:tcMar>
              <w:top w:w="135" w:type="dxa"/>
              <w:start w:w="145" w:type="dxa"/>
              <w:bottom w:w="135" w:type="dxa"/>
              <w:end w:w="145" w:type="dxa"/>
            </w:tcMar>
          </w:tcPr>
          <w:p>
            <w:r/>
            <w:r>
              <w:rPr>
                <w:rFonts w:ascii="Aptos" w:hAnsi="Aptos"/>
                <w:b/>
                <w:color w:val="2F7D32"/>
                <w:sz w:val="21"/>
              </w:rPr>
              <w:t>DECIDIR PELO GATE</w:t>
            </w:r>
          </w:p>
          <w:p>
            <w:pPr>
              <w:spacing w:after="0"/>
            </w:pPr>
            <w:r>
              <w:rPr>
                <w:rFonts w:ascii="Aptos" w:hAnsi="Aptos"/>
                <w:color w:val="24384B"/>
                <w:sz w:val="17"/>
              </w:rPr>
              <w:t>Sem base suficiente, a saída correta é registrar a limitação e pedir complemento.</w:t>
            </w:r>
          </w:p>
        </w:tc>
      </w:tr>
    </w:tbl>
    <w:p>
      <w:pPr>
        <w:pStyle w:val="Heading1"/>
      </w:pPr>
      <w:r>
        <w:t>12. Cuidados de privacidade e uso</w:t>
      </w:r>
    </w:p>
    <w:p>
      <w:pPr>
        <w:pStyle w:val="ListBullet"/>
      </w:pPr>
      <w:r>
        <w:t>Usar dados de saúde apenas quando necessários e com acesso restrito.</w:t>
      </w:r>
    </w:p>
    <w:p>
      <w:pPr>
        <w:pStyle w:val="ListBullet"/>
      </w:pPr>
      <w:r>
        <w:t>Não incluir prontuários, diagnósticos ou exames completos em pastas de circulação ampla.</w:t>
      </w:r>
    </w:p>
    <w:p>
      <w:pPr>
        <w:pStyle w:val="ListBullet"/>
      </w:pPr>
      <w:r>
        <w:t>Distinguir documento recebido, cópia de trabalho e versão de saída.</w:t>
      </w:r>
    </w:p>
    <w:p>
      <w:pPr>
        <w:pStyle w:val="ListBullet"/>
      </w:pPr>
      <w:r>
        <w:t>Não transformar formulário ou planilha em conclusão técnica por si só.</w:t>
      </w:r>
    </w:p>
    <w:p>
      <w:pPr>
        <w:pStyle w:val="ListBullet"/>
      </w:pPr>
      <w:r>
        <w:t>Revalidar referências normativas antes de utilizar o caso em treinamento ou produto.</w:t>
      </w:r>
    </w:p>
    <w:p>
      <w:pPr>
        <w:pStyle w:val="Heading1"/>
      </w:pPr>
      <w:r>
        <w:t>13. Referências oficiais consultadas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5227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REFERÊNCIA</w:t>
            </w:r>
          </w:p>
        </w:tc>
        <w:tc>
          <w:tcPr>
            <w:tcW w:type="dxa" w:w="5227"/>
            <w:shd w:fill="12365F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5"/>
              </w:rPr>
              <w:t>FONTE</w:t>
            </w:r>
          </w:p>
        </w:tc>
      </w:tr>
      <w:tr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NR-9 — Avaliação e Controle das Exposições Ocupacionais a Agentes Físicos, Químicos e Biológicos</w:t>
            </w:r>
          </w:p>
        </w:tc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https://www.gov.br/trabalho-e-emprego/pt-br/acesso-a-informacao/participacao-social/conselhos-e-orgaos-colegiados/comissao-tripartite-partitaria-permanente/normas-regulamentadora/normas-regulamentadoras-vigentes/norma-regulamentadora-no-9-nr-9</w:t>
            </w:r>
          </w:p>
        </w:tc>
      </w:tr>
      <w:tr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NR-15 — Atividades e Operações Insalubres</w:t>
            </w:r>
          </w:p>
        </w:tc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https://www.gov.br/trabalho-e-emprego/pt-br/acesso-a-informacao/participacao-social/conselhos-e-orgaos-colegiados/comissao-tripartite-partitaria-permanente/normas-regulamentadora/normas-regulamentadoras-vigentes/norma-regulamentadora-no-15-nr-15</w:t>
            </w:r>
          </w:p>
        </w:tc>
      </w:tr>
      <w:tr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NHO-01 — Avaliação da Exposição Ocupacional ao Ruído</w:t>
            </w:r>
          </w:p>
        </w:tc>
        <w:tc>
          <w:tcPr>
            <w:tcW w:type="dxa" w:w="522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https://cursos-eventos.fundacentro.gov.br/biblioteca/normas-de-higiene-ocupacional/publicacao/detalhe/2012/9/nho-01-procedimento-tecnico-avaliacao-da-exposicao-ocupacional-ao-ruido</w:t>
            </w:r>
          </w:p>
        </w:tc>
      </w:tr>
      <w:tr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NHO-06 — Avaliação da Exposição Ocupacional ao Calor</w:t>
            </w:r>
          </w:p>
        </w:tc>
        <w:tc>
          <w:tcPr>
            <w:tcW w:type="dxa" w:w="5227"/>
            <w:shd w:fill="F7F9FB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https://www.gov.br/fundacentro/pt-br/centrais-de-conteudo/biblioteca/nhos</w:t>
            </w:r>
          </w:p>
        </w:tc>
      </w:tr>
    </w:tbl>
    <w:p>
      <w:pPr>
        <w:pStyle w:val="Heading1"/>
      </w:pPr>
      <w:r>
        <w:t>14. Encerramento</w:t>
      </w:r>
    </w:p>
    <w:p>
      <w:pPr>
        <w:pStyle w:val="KMGQuote"/>
      </w:pPr>
      <w:r>
        <w:t>O valor do caso não está em responder 'há ou não há insalubridade'. Está em mostrar como uma base aparentemente extensa pode continuar insuficiente quando atividades, períodos, avaliações e controles não estão relacionados de forma rastreável.</w:t>
      </w:r>
    </w:p>
    <w:p>
      <w:r>
        <w:br w:type="page"/>
      </w:r>
    </w:p>
    <w:p>
      <w:pPr>
        <w:pStyle w:val="KMGAppendixTitle"/>
        <w:jc w:val="left"/>
      </w:pPr>
      <w:r>
        <w:t>ANEXO - CONTROLES DE RASTREABILIDADE E VALIDAÇÃO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454"/>
      </w:tblGrid>
      <w:tr>
        <w:tc>
          <w:tcPr>
            <w:tcW w:type="dxa" w:w="10454"/>
            <w:shd w:fill="FFF4D6"/>
            <w:vAlign w:val="center"/>
          </w:tcPr>
          <w:p>
            <w:r/>
            <w:r>
              <w:rPr>
                <w:b/>
                <w:color w:val="173B67"/>
                <w:sz w:val="18"/>
              </w:rPr>
              <w:t>Este bloco padroniza rastreabilidade, validação normativa, proteção de dados e bloqueio de mérito. Não converte o caso fictício em laudo, parecer ou conclusão aplicável a caso real.</w:t>
            </w:r>
          </w:p>
        </w:tc>
      </w:tr>
    </w:tbl>
    <w:p/>
    <w:p>
      <w:pPr>
        <w:pStyle w:val="KMGSection"/>
      </w:pPr>
      <w:r>
        <w:t>A. STATUS DO CASO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23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Campo</w:t>
            </w:r>
          </w:p>
        </w:tc>
        <w:tc>
          <w:tcPr>
            <w:tcW w:type="dxa" w:w="835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Conteúdo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Tipo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Organização documental de exposições ocupacionais fictícias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Papel processual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Demonstração educacional; não caracteriza insalubridade ou adicional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Fase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Caso fictício preenchido - demonstração metodológica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Etapa atual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Períodos e avaliações organizados; comparabilidade e representatividade pendentes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Documentos considerados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descrições de função, PGR, avaliações, EPI, calibrações e registros fictícios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Pendências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representatividade, ciclos, métodos, instrumentos, períodos e controles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Normas/temas correlatos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NR-09; NR-15; NR-06; NR-01; referências técnicas aplicáveis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Evidências/EVID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EVID-INS-001, EVID-INS-002, EVID-INS-003, EVID-INS-004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Próximo documento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Matriz de comparabilidade das avaliações e gate normativo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Evolução estimada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75% metodológico; caracterização bloqueada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Fontes de referência</w:t>
            </w:r>
          </w:p>
        </w:tc>
        <w:tc>
          <w:tcPr>
            <w:tcW w:type="dxa" w:w="8352"/>
            <w:vAlign w:val="center"/>
          </w:tcPr>
          <w:p>
            <w:r>
              <w:t>Normas vigentes e fontes técnicas aplicáveis</w:t>
            </w:r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>
              <w:t>Data da revisão documental</w:t>
            </w:r>
            <w:r>
              <w:rPr>
                <w:b w:val="0"/>
                <w:sz w:val="16"/>
              </w:rPr>
            </w:r>
          </w:p>
        </w:tc>
        <w:tc>
          <w:tcPr>
            <w:tcW w:type="dxa" w:w="8352"/>
            <w:vAlign w:val="center"/>
            <w:shd w:fill="F4F7F9"/>
          </w:tcPr>
          <w:p>
            <w:r>
              <w:t>05/08/2026</w:t>
            </w:r>
            <w:r>
              <w:rPr>
                <w:b w:val="0"/>
                <w:sz w:val="16"/>
              </w:rPr>
            </w:r>
          </w:p>
        </w:tc>
      </w:tr>
    </w:tbl>
    <w:p/>
    <w:p>
      <w:pPr>
        <w:pStyle w:val="KMGSection"/>
      </w:pPr>
      <w:r>
        <w:t>B. CONTROLE EVID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42"/>
        <w:gridCol w:w="1742"/>
        <w:gridCol w:w="1742"/>
        <w:gridCol w:w="1742"/>
        <w:gridCol w:w="1742"/>
        <w:gridCol w:w="1742"/>
      </w:tblGrid>
      <w:tr>
        <w:tc>
          <w:tcPr>
            <w:tcW w:type="dxa" w:w="115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Código</w:t>
            </w:r>
          </w:p>
        </w:tc>
        <w:tc>
          <w:tcPr>
            <w:tcW w:type="dxa" w:w="288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Descrição</w:t>
            </w:r>
          </w:p>
        </w:tc>
        <w:tc>
          <w:tcPr>
            <w:tcW w:type="dxa" w:w="129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Situação</w:t>
            </w:r>
          </w:p>
        </w:tc>
        <w:tc>
          <w:tcPr>
            <w:tcW w:type="dxa" w:w="144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Confiabilidade</w:t>
            </w:r>
          </w:p>
        </w:tc>
        <w:tc>
          <w:tcPr>
            <w:tcW w:type="dxa" w:w="2448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Uso técnico</w:t>
            </w:r>
          </w:p>
        </w:tc>
        <w:tc>
          <w:tcPr>
            <w:tcW w:type="dxa" w:w="23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Próxima ação</w:t>
            </w:r>
          </w:p>
        </w:tc>
      </w:tr>
      <w:tr>
        <w:tc>
          <w:tcPr>
            <w:tcW w:type="dxa" w:w="1152"/>
            <w:vAlign w:val="center"/>
          </w:tcPr>
          <w:p>
            <w:r/>
            <w:r>
              <w:rPr>
                <w:b w:val="0"/>
                <w:sz w:val="16"/>
              </w:rPr>
              <w:t>EVID-INS-001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b w:val="0"/>
                <w:sz w:val="16"/>
              </w:rPr>
              <w:t>Descrição de atividades por período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b w:val="0"/>
                <w:sz w:val="16"/>
              </w:rPr>
              <w:t>Recebido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b w:val="0"/>
                <w:sz w:val="16"/>
              </w:rPr>
              <w:t>Alta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b w:val="0"/>
                <w:sz w:val="16"/>
              </w:rPr>
              <w:t>delimitar exposição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validar com registros</w:t>
            </w:r>
          </w:p>
        </w:tc>
      </w:tr>
      <w:tr>
        <w:tc>
          <w:tcPr>
            <w:tcW w:type="dxa" w:w="11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EVID-INS-002</w:t>
            </w:r>
          </w:p>
        </w:tc>
        <w:tc>
          <w:tcPr>
            <w:tcW w:type="dxa" w:w="288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Avaliações de ruído fictícias</w:t>
            </w:r>
          </w:p>
        </w:tc>
        <w:tc>
          <w:tcPr>
            <w:tcW w:type="dxa" w:w="129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Parcial</w:t>
            </w:r>
          </w:p>
        </w:tc>
        <w:tc>
          <w:tcPr>
            <w:tcW w:type="dxa" w:w="144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Média</w:t>
            </w:r>
          </w:p>
        </w:tc>
        <w:tc>
          <w:tcPr>
            <w:tcW w:type="dxa" w:w="2448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comparar representatividade</w:t>
            </w:r>
          </w:p>
        </w:tc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confirmar método e calibração</w:t>
            </w:r>
          </w:p>
        </w:tc>
      </w:tr>
      <w:tr>
        <w:tc>
          <w:tcPr>
            <w:tcW w:type="dxa" w:w="1152"/>
            <w:vAlign w:val="center"/>
          </w:tcPr>
          <w:p>
            <w:r/>
            <w:r>
              <w:rPr>
                <w:b w:val="0"/>
                <w:sz w:val="16"/>
              </w:rPr>
              <w:t>EVID-INS-003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b w:val="0"/>
                <w:sz w:val="16"/>
              </w:rPr>
              <w:t>Avaliações de calor fictícias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b w:val="0"/>
                <w:sz w:val="16"/>
              </w:rPr>
              <w:t>Parcial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b w:val="0"/>
                <w:sz w:val="16"/>
              </w:rPr>
              <w:t>Média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b w:val="0"/>
                <w:sz w:val="16"/>
              </w:rPr>
              <w:t>relacionar ciclo e ambiente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confirmar metodologia aplicável</w:t>
            </w:r>
          </w:p>
        </w:tc>
      </w:tr>
      <w:tr>
        <w:tc>
          <w:tcPr>
            <w:tcW w:type="dxa" w:w="11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EVID-INS-004</w:t>
            </w:r>
          </w:p>
        </w:tc>
        <w:tc>
          <w:tcPr>
            <w:tcW w:type="dxa" w:w="288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Registros de EPI</w:t>
            </w:r>
          </w:p>
        </w:tc>
        <w:tc>
          <w:tcPr>
            <w:tcW w:type="dxa" w:w="129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Parcial</w:t>
            </w:r>
          </w:p>
        </w:tc>
        <w:tc>
          <w:tcPr>
            <w:tcW w:type="dxa" w:w="144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Média</w:t>
            </w:r>
          </w:p>
        </w:tc>
        <w:tc>
          <w:tcPr>
            <w:tcW w:type="dxa" w:w="2448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controle administrativo</w:t>
            </w:r>
          </w:p>
        </w:tc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verificar entrega, uso e substituição</w:t>
            </w:r>
          </w:p>
        </w:tc>
      </w:tr>
    </w:tbl>
    <w:p/>
    <w:p>
      <w:pPr>
        <w:pStyle w:val="KMGSection"/>
      </w:pPr>
      <w:r>
        <w:t>C. MATRIZ FATO -&gt; EVIDÊNCIA -&gt; ANÁLISE TÉCNICA -&gt; CONCLUSÃO LIMITADA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13"/>
        <w:gridCol w:w="2613"/>
        <w:gridCol w:w="2613"/>
        <w:gridCol w:w="2613"/>
      </w:tblGrid>
      <w:tr>
        <w:tc>
          <w:tcPr>
            <w:tcW w:type="dxa" w:w="259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Fato fictício</w:t>
            </w:r>
          </w:p>
        </w:tc>
        <w:tc>
          <w:tcPr>
            <w:tcW w:type="dxa" w:w="259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Evidência associada</w:t>
            </w:r>
          </w:p>
        </w:tc>
        <w:tc>
          <w:tcPr>
            <w:tcW w:type="dxa" w:w="288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Análise técnica possível</w:t>
            </w:r>
          </w:p>
        </w:tc>
        <w:tc>
          <w:tcPr>
            <w:tcW w:type="dxa" w:w="288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Conclusão limitada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O processo mudou durante o período.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Layouts, PGR e cronologia.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b w:val="0"/>
                <w:sz w:val="16"/>
              </w:rPr>
              <w:t>Os períodos devem ser analisados separadamente.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b w:val="0"/>
                <w:sz w:val="16"/>
              </w:rPr>
              <w:t>Não comparar resultados sem equivalência de atividade e método.</w:t>
            </w:r>
          </w:p>
        </w:tc>
      </w:tr>
      <w:tr>
        <w:tc>
          <w:tcPr>
            <w:tcW w:type="dxa" w:w="259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Existem avaliações com números diferentes.</w:t>
            </w:r>
          </w:p>
        </w:tc>
        <w:tc>
          <w:tcPr>
            <w:tcW w:type="dxa" w:w="259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Relatórios e registros de calibração.</w:t>
            </w:r>
          </w:p>
        </w:tc>
        <w:tc>
          <w:tcPr>
            <w:tcW w:type="dxa" w:w="288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Diferença numérica não prova alteração real de exposição.</w:t>
            </w:r>
          </w:p>
        </w:tc>
        <w:tc>
          <w:tcPr>
            <w:tcW w:type="dxa" w:w="288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Caracterização permanece bloqueada.</w:t>
            </w:r>
          </w:p>
        </w:tc>
      </w:tr>
    </w:tbl>
    <w:p/>
    <w:p>
      <w:pPr>
        <w:pStyle w:val="KMGSection"/>
      </w:pPr>
      <w:r>
        <w:t>D. VALIDAÇÃO NORMATIVA DIRIGIDA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13"/>
        <w:gridCol w:w="2613"/>
        <w:gridCol w:w="2613"/>
        <w:gridCol w:w="2613"/>
      </w:tblGrid>
      <w:tr>
        <w:tc>
          <w:tcPr>
            <w:tcW w:type="dxa" w:w="158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NR/Tema</w:t>
            </w:r>
          </w:p>
        </w:tc>
        <w:tc>
          <w:tcPr>
            <w:tcW w:type="dxa" w:w="2448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 do controle</w:t>
            </w:r>
          </w:p>
        </w:tc>
        <w:tc>
          <w:tcPr>
            <w:tcW w:type="dxa" w:w="331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Impacto no caso</w:t>
            </w:r>
          </w:p>
        </w:tc>
        <w:tc>
          <w:tcPr>
            <w:tcW w:type="dxa" w:w="360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Ação antes do uso real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b w:val="0"/>
                <w:sz w:val="16"/>
              </w:rPr>
              <w:t>NR-09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b w:val="0"/>
                <w:sz w:val="16"/>
              </w:rPr>
              <w:t>Conferência externa obrigatória antes do uso real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b w:val="0"/>
                <w:sz w:val="16"/>
              </w:rPr>
              <w:t>avaliação e controle de exposições</w:t>
            </w:r>
          </w:p>
        </w:tc>
        <w:tc>
          <w:tcPr>
            <w:tcW w:type="dxa" w:w="3600"/>
            <w:vAlign w:val="center"/>
          </w:tcPr>
          <w:p>
            <w:r/>
            <w:r>
              <w:rPr>
                <w:b w:val="0"/>
                <w:sz w:val="16"/>
              </w:rPr>
              <w:t>confirmar texto vigente e escopo</w:t>
            </w:r>
          </w:p>
        </w:tc>
      </w:tr>
      <w:tr>
        <w:tc>
          <w:tcPr>
            <w:tcW w:type="dxa" w:w="158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NR-15</w:t>
            </w:r>
          </w:p>
        </w:tc>
        <w:tc>
          <w:tcPr>
            <w:tcW w:type="dxa" w:w="2448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Conferência externa obrigatória</w:t>
            </w:r>
          </w:p>
        </w:tc>
        <w:tc>
          <w:tcPr>
            <w:tcW w:type="dxa" w:w="33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critérios de insalubridade, ruído e calor</w:t>
            </w:r>
          </w:p>
        </w:tc>
        <w:tc>
          <w:tcPr>
            <w:tcW w:type="dxa" w:w="360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verificar anexos vigentes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b w:val="0"/>
                <w:sz w:val="16"/>
              </w:rPr>
              <w:t>NR-06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b w:val="0"/>
                <w:sz w:val="16"/>
              </w:rPr>
              <w:t>Correlata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b w:val="0"/>
                <w:sz w:val="16"/>
              </w:rPr>
              <w:t>seleção e gestão de EPI</w:t>
            </w:r>
          </w:p>
        </w:tc>
        <w:tc>
          <w:tcPr>
            <w:tcW w:type="dxa" w:w="3600"/>
            <w:vAlign w:val="center"/>
          </w:tcPr>
          <w:p>
            <w:r/>
            <w:r>
              <w:rPr>
                <w:b w:val="0"/>
                <w:sz w:val="16"/>
              </w:rPr>
              <w:t>não inferir eficácia apenas por ficha</w:t>
            </w:r>
          </w:p>
        </w:tc>
      </w:tr>
      <w:tr>
        <w:tc>
          <w:tcPr>
            <w:tcW w:type="dxa" w:w="158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NR-01</w:t>
            </w:r>
          </w:p>
        </w:tc>
        <w:tc>
          <w:tcPr>
            <w:tcW w:type="dxa" w:w="2448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Correlata</w:t>
            </w:r>
          </w:p>
        </w:tc>
        <w:tc>
          <w:tcPr>
            <w:tcW w:type="dxa" w:w="33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GRO/PGR e gestão de riscos</w:t>
            </w:r>
          </w:p>
        </w:tc>
        <w:tc>
          <w:tcPr>
            <w:tcW w:type="dxa" w:w="360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vincular ao contexto real</w:t>
            </w:r>
          </w:p>
        </w:tc>
      </w:tr>
    </w:tbl>
    <w:p/>
    <w:p>
      <w:pPr>
        <w:pStyle w:val="KMGNote"/>
      </w:pPr>
      <w:r>
        <w:t>Ressalva normativa: verificação interna realizada com base na Fontes de referência e no controle normativo indicado. Antes de protocolo, treinamento, consultoria, conclusão definitiva ou aplicação em caso real, confirmar o texto vigente no portal oficial do Ministério do Trabalho e Emprego e nas demais fontes técnicas aplicáveis.</w:t>
      </w:r>
    </w:p>
    <w:p>
      <w:pPr>
        <w:pStyle w:val="KMGSection"/>
      </w:pPr>
      <w:r>
        <w:t>E. LGPD, SIGILO E BLOQUEIO DE MÉRITO</w:t>
      </w:r>
    </w:p>
    <w:p>
      <w:pPr>
        <w:pStyle w:val="ListBullet"/>
      </w:pPr>
      <w:r>
        <w:t>Tratar apenas dados necessários à finalidade técnica; anonimizar exemplos e restringir dados pessoais, de saúde, comerciais ou estratégicos.</w:t>
      </w:r>
    </w:p>
    <w:p>
      <w:pPr>
        <w:pStyle w:val="ListBullet"/>
      </w:pPr>
      <w:r>
        <w:t>Preservar originais, registrar cópias de trabalho, versão, origem, data, responsável e restrição de acesso.</w:t>
      </w:r>
    </w:p>
    <w:p>
      <w:pPr>
        <w:pStyle w:val="ListBullet"/>
      </w:pPr>
      <w:r>
        <w:t>Não preencher lacunas por suposição, estimativa ou cálculo não verificado.</w:t>
      </w:r>
    </w:p>
    <w:p>
      <w:pPr>
        <w:pStyle w:val="ListBullet"/>
      </w:pPr>
      <w:r>
        <w:t>Não concluir caracterização, grau, neutralização, eficácia de EPI ou direito a adicional sem avaliações representativas, critérios vigentes e análise profissional do caso concreto.</w:t>
      </w:r>
    </w:p>
    <w:p>
      <w:pPr>
        <w:pStyle w:val="ListBullet"/>
      </w:pPr>
      <w:r>
        <w:t>O gate deve ser classificado como APROVADO, APROVADO COM RESSALVAS, REVISAR ou REPROVADO e precisa de validação formal do responsável técnico.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454"/>
      </w:tblGrid>
      <w:tr>
        <w:tc>
          <w:tcPr>
            <w:tcW w:type="dxa" w:w="10454"/>
            <w:shd w:fill="EAF5ED"/>
            <w:vAlign w:val="center"/>
          </w:tcPr>
          <w:p>
            <w:r>
              <w:t>As ilustrações são didáticas, sem escala e devem ser confrontadas com as evidências do caso real.</w:t>
            </w:r>
          </w:p>
        </w:tc>
      </w:tr>
    </w:tbl>
    <w:p/>
    <w:sectPr>
      <w:headerReference w:type="default" r:id="rId9"/>
      <w:footerReference w:type="default" r:id="rId10"/>
      <w:headerReference w:type="first" r:id="rId11"/>
      <w:footerReference w:type="first" r:id="rId12"/>
      <w:headerReference w:type="even" r:id="rId13"/>
      <w:footerReference w:type="even" r:id="rId14"/>
      <w:pgSz w:w="12240" w:h="15840"/>
      <w:pgMar w:top="792" w:right="893" w:bottom="792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INS-002 | Emissão 05/08/2026 | Material de apoio técnico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INS-002 | Emissão 05/08/2026 | Material de apoio técnico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INS-002 | Emissão 05/08/2026 | Material de apoio técnico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667482"/>
        <w:sz w:val="14"/>
      </w:rPr>
      <w:t>KMG ENGINEERING INTELLIGENCE | INS-002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90"/>
    </w:pPr>
    <w:rPr>
      <w:rFonts w:ascii="Aptos" w:hAnsi="Aptos"/>
      <w:color w:val="24384B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40" w:after="100"/>
      <w:outlineLvl w:val="0"/>
    </w:pPr>
    <w:rPr>
      <w:rFonts w:asciiTheme="majorHAnsi" w:eastAsiaTheme="majorEastAsia" w:hAnsiTheme="majorHAnsi" w:cstheme="majorBidi" w:ascii="Aptos" w:hAnsi="Aptos"/>
      <w:b/>
      <w:bCs/>
      <w:color w:val="12365F"/>
      <w:sz w:val="3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17365D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12365F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MGEyebrow">
    <w:name w:val="KMG Eyebrow"/>
    <w:rPr>
      <w:rFonts w:ascii="Aptos" w:hAnsi="Aptos"/>
      <w:b/>
      <w:color w:val="667482"/>
      <w:sz w:val="16"/>
    </w:rPr>
  </w:style>
  <w:style w:type="paragraph" w:customStyle="1" w:styleId="KMGQuote">
    <w:name w:val="KMG Quote"/>
    <w:pPr>
      <w:spacing w:before="100" w:after="140"/>
      <w:ind w:left="288" w:right="288"/>
    </w:pPr>
    <w:rPr>
      <w:rFonts w:ascii="Aptos Display" w:hAnsi="Aptos Display"/>
      <w:b/>
      <w:color w:val="12365F"/>
      <w:sz w:val="25"/>
    </w:rPr>
  </w:style>
  <w:style w:type="paragraph" w:customStyle="1" w:styleId="KMGAppendixTitle">
    <w:name w:val="KMG Appendix Title"/>
    <w:pPr>
      <w:spacing w:before="160" w:after="160"/>
    </w:pPr>
    <w:rPr>
      <w:rFonts w:ascii="Aptos Display" w:hAnsi="Aptos Display"/>
      <w:b/>
      <w:color w:val="173B67"/>
      <w:sz w:val="36"/>
    </w:rPr>
  </w:style>
  <w:style w:type="paragraph" w:customStyle="1" w:styleId="KMGSection">
    <w:name w:val="KMG Section"/>
    <w:pPr>
      <w:spacing w:before="160" w:after="100"/>
    </w:pPr>
    <w:rPr>
      <w:rFonts w:ascii="Aptos Display" w:hAnsi="Aptos Display"/>
      <w:b/>
      <w:color w:val="173B67"/>
      <w:sz w:val="26"/>
    </w:rPr>
  </w:style>
  <w:style w:type="paragraph" w:customStyle="1" w:styleId="KMGNote">
    <w:name w:val="KMG Note"/>
    <w:pPr>
      <w:spacing w:before="60" w:after="120"/>
    </w:pPr>
    <w:rPr>
      <w:rFonts w:ascii="Aptos" w:hAnsi="Aptos"/>
      <w:color w:val="667788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INS-002 Caso Ficticio Insalubridade Ruido Calor v2.6</dc:title>
  <dc:subject>KIT-001 - Preparação Documental e Estruturação Técnica</dc:subject>
  <dc:creator>KMG Engineering Intelligence</dc:creator>
  <cp:keywords>KMG; KIT-001; engenharia; organização documental; rastreabilidade</cp:keywords>
  <dc:description/>
  <cp:lastModifiedBy>KMG Engineering Intelligence</cp:lastModifiedBy>
  <cp:revision>1</cp:revision>
  <dcterms:created xsi:type="dcterms:W3CDTF">2026-08-05T14:52:00Z</dcterms:created>
  <dcterms:modified xsi:type="dcterms:W3CDTF">2026-08-05T13:43:00Z</dcterms:modified>
  <cp:category>Material profissional</cp:category>
  <cp:version>2.6</cp:version>
</cp:coreProperties>
</file>