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MGEyebrow"/>
      </w:pPr>
      <w:r>
        <w:t>KMG ENGINEERING INTELLIGENCE • CASO FICTÍCIO E SISTEMA PROFISSIONAL</w:t>
      </w:r>
    </w:p>
    <w:p>
      <w:pPr>
        <w:pStyle w:val="Title"/>
      </w:pPr>
      <w:r>
        <w:t>CASO 04 — MÁQUINA E EQUIPAMENTO</w:t>
      </w:r>
    </w:p>
    <w:p>
      <w:r>
        <w:rPr>
          <w:color w:val="17365D"/>
          <w:sz w:val="26"/>
        </w:rPr>
        <w:t>Prensa hidráulica, reforma do sistema de comando, proteção móvel e ocorrência operacional fictícia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570"/>
      </w:tblGrid>
      <w:tr>
        <w:tc>
          <w:tcPr>
            <w:tcW w:type="dxa" w:w="10570"/>
            <w:shd w:fill="C58A00"/>
            <w:vAlign w:val="center"/>
            <w:tcMar>
              <w:top w:w="130" w:type="dxa"/>
              <w:start w:w="150" w:type="dxa"/>
              <w:bottom w:w="130" w:type="dxa"/>
              <w:end w:w="15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20"/>
              </w:rPr>
              <w:t>CASO INTEGRALMENTE FICTÍCIO • NÃO DETERMINA CAUSA, CULPA OU CONFORMIDADE</w:t>
            </w:r>
          </w:p>
        </w:tc>
      </w:tr>
    </w:tbl>
    <w:p>
      <w:pPr>
        <w:pStyle w:val="KMGQuote"/>
      </w:pPr>
      <w:r>
        <w:t>O caso demonstra a organização documental de uma ocorrência envolvendo uma prensa hidráulica fictícia. A análise separa configurações, atividades, períodos, documentos, alterações e lacunas. Não atribui causa, culpa, falha de projeto, descumprimento normativo ou responsabilidade.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6537960" cy="367760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LU-CFM-004-001_Pressa_Hidraulica_3D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37960" cy="367760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  <w:color w:val="667482"/>
          <w:sz w:val="14"/>
        </w:rPr>
        <w:t>Ilustração genérica. Não representa a máquina real, uma inspeção ou reconstrução do evento.</w:t>
      </w:r>
    </w:p>
    <w:p>
      <w:pPr>
        <w:pStyle w:val="Heading1"/>
      </w:pPr>
      <w:r>
        <w:t>1. Identificação e pergunta documental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85"/>
        <w:gridCol w:w="5285"/>
      </w:tblGrid>
      <w:tr>
        <w:tc>
          <w:tcPr>
            <w:tcW w:type="dxa" w:w="5285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CAMPO</w:t>
            </w:r>
          </w:p>
        </w:tc>
        <w:tc>
          <w:tcPr>
            <w:tcW w:type="dxa" w:w="5285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DEFINIÇÃO FICTÍCIA</w:t>
            </w:r>
          </w:p>
        </w:tc>
      </w:tr>
      <w:tr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Empresa</w:t>
            </w:r>
          </w:p>
        </w:tc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Componentes Industriais Aurora Ltda. — denominação fictícia.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Equipamento</w:t>
            </w:r>
          </w:p>
        </w:tc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Prensa hidráulica PH-02, 160 t, dedicada à conformação de componentes.</w:t>
            </w:r>
          </w:p>
        </w:tc>
      </w:tr>
      <w:tr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Setor</w:t>
            </w:r>
          </w:p>
        </w:tc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Estamparia e preparação de conjuntos.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Pessoas</w:t>
            </w:r>
          </w:p>
        </w:tc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Operador, líder, manutenção elétrica/mecânica, engenharia, SST e integrador.</w:t>
            </w:r>
          </w:p>
        </w:tc>
      </w:tr>
      <w:tr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Período</w:t>
            </w:r>
          </w:p>
        </w:tc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Janeiro de 2025 a junho de 2026.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Mudança</w:t>
            </w:r>
          </w:p>
        </w:tc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Reforma do comando e da proteção móvel em setembro de 2025.</w:t>
            </w:r>
          </w:p>
        </w:tc>
      </w:tr>
      <w:tr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Ocorrência</w:t>
            </w:r>
          </w:p>
        </w:tc>
        <w:tc>
          <w:tcPr>
            <w:tcW w:type="dxa" w:w="5285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Contato do operador com peça deslocada após interrupção de ciclo, com lesão fictícia.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Pergunta</w:t>
            </w:r>
          </w:p>
        </w:tc>
        <w:tc>
          <w:tcPr>
            <w:tcW w:type="dxa" w:w="5285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4"/>
              </w:rPr>
              <w:t>A base permite compreender a configuração, a atividade, as alterações, a capacitação e a sequência sem preencher lacunas por suposição?</w:t>
            </w:r>
          </w:p>
        </w:tc>
      </w:tr>
    </w:tbl>
    <w:p>
      <w:pPr>
        <w:pStyle w:val="Heading1"/>
      </w:pPr>
      <w:r>
        <w:t>2. Narrativa resumida</w:t>
      </w:r>
    </w:p>
    <w:p>
      <w:r>
        <w:t>No período inicial, a PH-02 operava com comando original, proteção móvel mecânica e procedimento de ajuste baseado em instrução interna. Em setembro de 2025, a máquina recebeu nova interface de comando, dispositivo de detecção e revisão da lógica de parada. O projeto, os diagramas e o treinamento foram atualizados em momentos distintos.</w:t>
      </w:r>
    </w:p>
    <w:p>
      <w:r>
        <w:t>Em 12 de maio de 2026, um ciclo foi interrompido após posicionamento irregular da peça. O operador aproximou-se da zona de trabalho para corrigir o posicionamento. A sequência exata, o estado do comando e a condição da proteção não estão integralmente preservados nos documentos recebidos. A máquina foi isolada após o evento, mas algumas fotografias foram produzidas somente depois de ajustes iniciais.</w:t>
      </w:r>
    </w:p>
    <w:p>
      <w:pPr>
        <w:pStyle w:val="Heading1"/>
      </w:pPr>
      <w:r>
        <w:t>3. Configurações e períodos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6537960" cy="3677602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LU-CFM-004-002_Configuracoes_Temporais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37960" cy="367760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  <w:color w:val="667482"/>
          <w:sz w:val="14"/>
        </w:rPr>
        <w:t>Cada configuração deve ser relacionada aos documentos e registros que realmente a representam.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42"/>
        <w:gridCol w:w="2642"/>
        <w:gridCol w:w="2642"/>
        <w:gridCol w:w="2642"/>
      </w:tblGrid>
      <w:tr>
        <w:tc>
          <w:tcPr>
            <w:tcW w:type="dxa" w:w="2642"/>
            <w:shd w:fill="12365F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11"/>
              </w:rPr>
            </w:r>
            <w:r>
              <w:rPr>
                <w:rFonts w:ascii="Aptos" w:hAnsi="Aptos"/>
                <w:b/>
                <w:color w:val="FFFFFF"/>
                <w:sz w:val="11"/>
              </w:rPr>
              <w:t>PERÍODO</w:t>
            </w:r>
          </w:p>
        </w:tc>
        <w:tc>
          <w:tcPr>
            <w:tcW w:type="dxa" w:w="2642"/>
            <w:shd w:fill="12365F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11"/>
              </w:rPr>
            </w:r>
            <w:r>
              <w:rPr>
                <w:rFonts w:ascii="Aptos" w:hAnsi="Aptos"/>
                <w:b/>
                <w:color w:val="FFFFFF"/>
                <w:sz w:val="11"/>
              </w:rPr>
              <w:t>CONFIGURAÇÃO</w:t>
            </w:r>
          </w:p>
        </w:tc>
        <w:tc>
          <w:tcPr>
            <w:tcW w:type="dxa" w:w="2642"/>
            <w:shd w:fill="12365F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11"/>
              </w:rPr>
            </w:r>
            <w:r>
              <w:rPr>
                <w:rFonts w:ascii="Aptos" w:hAnsi="Aptos"/>
                <w:b/>
                <w:color w:val="FFFFFF"/>
                <w:sz w:val="11"/>
              </w:rPr>
              <w:t>DOCUMENTOS ESPERADOS</w:t>
            </w:r>
          </w:p>
        </w:tc>
        <w:tc>
          <w:tcPr>
            <w:tcW w:type="dxa" w:w="2642"/>
            <w:shd w:fill="12365F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11"/>
              </w:rPr>
            </w:r>
            <w:r>
              <w:rPr>
                <w:rFonts w:ascii="Aptos" w:hAnsi="Aptos"/>
                <w:b/>
                <w:color w:val="FFFFFF"/>
                <w:sz w:val="11"/>
              </w:rPr>
              <w:t>RISCO DOCUMENTAL</w:t>
            </w:r>
          </w:p>
        </w:tc>
      </w:tr>
      <w:tr>
        <w:tc>
          <w:tcPr>
            <w:tcW w:type="dxa" w:w="2642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P1 — 01/2025 a 08/2025</w:t>
            </w:r>
          </w:p>
        </w:tc>
        <w:tc>
          <w:tcPr>
            <w:tcW w:type="dxa" w:w="2642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Comando original e proteção móvel mecânica.</w:t>
            </w:r>
          </w:p>
        </w:tc>
        <w:tc>
          <w:tcPr>
            <w:tcW w:type="dxa" w:w="2642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Manual, diagramas, procedimento, manutenção e treinamento.</w:t>
            </w:r>
          </w:p>
        </w:tc>
        <w:tc>
          <w:tcPr>
            <w:tcW w:type="dxa" w:w="2642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Documentos anteriores podem ser usados indevidamente para o período reformado.</w:t>
            </w:r>
          </w:p>
        </w:tc>
      </w:tr>
      <w:tr>
        <w:tc>
          <w:tcPr>
            <w:tcW w:type="dxa" w:w="2642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P2 — 09/2025 a 11/05/2026</w:t>
            </w:r>
          </w:p>
        </w:tc>
        <w:tc>
          <w:tcPr>
            <w:tcW w:type="dxa" w:w="2642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Novo comando, detecção e revisão da lógica.</w:t>
            </w:r>
          </w:p>
        </w:tc>
        <w:tc>
          <w:tcPr>
            <w:tcW w:type="dxa" w:w="2642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Projeto, diagramas revisados, validação, treinamento e aceite.</w:t>
            </w:r>
          </w:p>
        </w:tc>
        <w:tc>
          <w:tcPr>
            <w:tcW w:type="dxa" w:w="2642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Datas de emissão, instalação, validação e treinamento não coincidem.</w:t>
            </w:r>
          </w:p>
        </w:tc>
      </w:tr>
      <w:tr>
        <w:tc>
          <w:tcPr>
            <w:tcW w:type="dxa" w:w="2642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P3 — 12/05/2026</w:t>
            </w:r>
          </w:p>
        </w:tc>
        <w:tc>
          <w:tcPr>
            <w:tcW w:type="dxa" w:w="2642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Condição no momento da ocorrência.</w:t>
            </w:r>
          </w:p>
        </w:tc>
        <w:tc>
          <w:tcPr>
            <w:tcW w:type="dxa" w:w="2642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Registros contemporâneos, fotos, logs, relatos e isolamento.</w:t>
            </w:r>
          </w:p>
        </w:tc>
        <w:tc>
          <w:tcPr>
            <w:tcW w:type="dxa" w:w="2642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Alterações pós-evento podem contaminar a leitura da configuração.</w:t>
            </w:r>
          </w:p>
        </w:tc>
      </w:tr>
      <w:tr>
        <w:tc>
          <w:tcPr>
            <w:tcW w:type="dxa" w:w="2642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P4 — após 13/05/2026</w:t>
            </w:r>
          </w:p>
        </w:tc>
        <w:tc>
          <w:tcPr>
            <w:tcW w:type="dxa" w:w="2642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Máquina isolada e inspecionada.</w:t>
            </w:r>
          </w:p>
        </w:tc>
        <w:tc>
          <w:tcPr>
            <w:tcW w:type="dxa" w:w="2642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Termo de preservação, inspeções, reparos e liberações.</w:t>
            </w:r>
          </w:p>
        </w:tc>
        <w:tc>
          <w:tcPr>
            <w:tcW w:type="dxa" w:w="2642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1"/>
              </w:rPr>
            </w:r>
            <w:r>
              <w:rPr>
                <w:rFonts w:ascii="Aptos" w:hAnsi="Aptos"/>
                <w:b w:val="0"/>
                <w:color w:val="24384B"/>
                <w:sz w:val="11"/>
              </w:rPr>
              <w:t>Mistura entre preservação e correção.</w:t>
            </w:r>
          </w:p>
        </w:tc>
      </w:tr>
    </w:tbl>
    <w:p>
      <w:r>
        <w:br w:type="page"/>
      </w:r>
    </w:p>
    <w:p>
      <w:pPr>
        <w:pStyle w:val="Heading1"/>
      </w:pPr>
      <w:r>
        <w:t>4. Inventário documental fictício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62"/>
        <w:gridCol w:w="1762"/>
        <w:gridCol w:w="1762"/>
        <w:gridCol w:w="1762"/>
        <w:gridCol w:w="1762"/>
        <w:gridCol w:w="1762"/>
      </w:tblGrid>
      <w:tr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ID</w:t>
            </w:r>
          </w:p>
        </w:tc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DOCUMENTO</w:t>
            </w:r>
          </w:p>
        </w:tc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STATUS</w:t>
            </w:r>
          </w:p>
        </w:tc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RELEVÂNCIA</w:t>
            </w:r>
          </w:p>
        </w:tc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CONFIABILIDADE</w:t>
            </w:r>
          </w:p>
        </w:tc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NOTA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DOC-001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Identificação e inventário da PH-02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Número de série e localização confirmados.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DOC-002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Manual do fabricante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Versão digital sem comprovação de origem.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DOC-003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Apreciação de riscos anterior à reforma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Representa somente o P1.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DOC-004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Apreciação de riscos posterior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Pendente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Baixa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Documento citado, mas não fornecido.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DOC-005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Diagramas elétricos/hidráulicos originais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Representam o P1.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DOC-006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Diagramas revisados após reforma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Parcial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Folhas sem carimbo de revisão.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DOC-007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Relatório de validação das funções de segurança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Parcial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Teste sem anexos completos.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DOC-008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Procedimento de operação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REV04 emitida após reforma.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DOC-009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Procedimento de bloqueio/intervenção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Escopo geral; não cita ajuste de peça.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DOC-010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Treinamentos e autorizações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Parcial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Treinamento ocorreu antes do aceite final.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DOC-011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Ordens de manutenção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Complementar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Incluem falha intermitente de sensor dois meses antes.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DOC-012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Checklists de início de turno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Sem observação no dia do evento.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DOC-013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APR/PT da intervenção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Indisponível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Baixa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Não localizada.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DOC-014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Relatos de operador e liderança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Complementar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Divergem sobre parada e tentativa de correção.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DOC-015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Registros fotográficos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Parte das fotos é posterior a ajustes iniciais.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DOC-016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Histórico de produção e paradas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Complementar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Confirma interrupção do lote.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DOC-017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Registro de isolamento da máquina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Emitido 35 min após o evento.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DOC-018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Relatório de inspeção pós-evento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Recebido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Essencial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Mistura achados e ações corretivas.</w:t>
            </w:r>
          </w:p>
        </w:tc>
      </w:tr>
    </w:tbl>
    <w:p>
      <w:r>
        <w:br w:type="page"/>
      </w:r>
    </w:p>
    <w:p>
      <w:pPr>
        <w:pStyle w:val="Heading1"/>
      </w:pPr>
      <w:r>
        <w:t>5. Estrutura de pastas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85"/>
        <w:gridCol w:w="5285"/>
      </w:tblGrid>
      <w:tr>
        <w:tc>
          <w:tcPr>
            <w:tcW w:type="dxa" w:w="5285"/>
            <w:shd w:fill="12365F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12"/>
              </w:rPr>
            </w:r>
            <w:r>
              <w:rPr>
                <w:rFonts w:ascii="Aptos" w:hAnsi="Aptos"/>
                <w:b/>
                <w:color w:val="FFFFFF"/>
                <w:sz w:val="12"/>
              </w:rPr>
              <w:t>PASTA</w:t>
            </w:r>
          </w:p>
        </w:tc>
        <w:tc>
          <w:tcPr>
            <w:tcW w:type="dxa" w:w="5285"/>
            <w:shd w:fill="12365F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sz w:val="12"/>
              </w:rPr>
            </w:r>
            <w:r>
              <w:rPr>
                <w:rFonts w:ascii="Aptos" w:hAnsi="Aptos"/>
                <w:b/>
                <w:color w:val="FFFFFF"/>
                <w:sz w:val="12"/>
              </w:rPr>
              <w:t>FINALIDADE</w:t>
            </w:r>
          </w:p>
        </w:tc>
      </w:tr>
      <w:tr>
        <w:tc>
          <w:tcPr>
            <w:tcW w:type="dxa" w:w="5285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00_ADMIN</w:t>
            </w:r>
          </w:p>
        </w:tc>
        <w:tc>
          <w:tcPr>
            <w:tcW w:type="dxa" w:w="5285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Escopo, pessoas, versões, acesso e histórico.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01_RECEBIDOS_ORIGINAIS</w:t>
            </w:r>
          </w:p>
        </w:tc>
        <w:tc>
          <w:tcPr>
            <w:tcW w:type="dxa" w:w="5285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Preservação dos arquivos recebidos.</w:t>
            </w:r>
          </w:p>
        </w:tc>
      </w:tr>
      <w:tr>
        <w:tc>
          <w:tcPr>
            <w:tcW w:type="dxa" w:w="5285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02_IDENTIFICACAO_E_MANUAIS</w:t>
            </w:r>
          </w:p>
        </w:tc>
        <w:tc>
          <w:tcPr>
            <w:tcW w:type="dxa" w:w="5285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Máquina, série, fabricante, limites e uso.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03_CONFIGURACAO_P1</w:t>
            </w:r>
          </w:p>
        </w:tc>
        <w:tc>
          <w:tcPr>
            <w:tcW w:type="dxa" w:w="5285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Projeto, diagramas, riscos e procedimentos anteriores.</w:t>
            </w:r>
          </w:p>
        </w:tc>
      </w:tr>
      <w:tr>
        <w:tc>
          <w:tcPr>
            <w:tcW w:type="dxa" w:w="5285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04_CONFIGURACAO_P2</w:t>
            </w:r>
          </w:p>
        </w:tc>
        <w:tc>
          <w:tcPr>
            <w:tcW w:type="dxa" w:w="5285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Reforma, diagramas, validação, aceite e treinamento.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05_OPERACAO_E_CAPACITACAO</w:t>
            </w:r>
          </w:p>
        </w:tc>
        <w:tc>
          <w:tcPr>
            <w:tcW w:type="dxa" w:w="5285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Procedimentos, autorizações, checklists e produção.</w:t>
            </w:r>
          </w:p>
        </w:tc>
      </w:tr>
      <w:tr>
        <w:tc>
          <w:tcPr>
            <w:tcW w:type="dxa" w:w="5285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06_MANUTENCAO_E_INTERVENCOES</w:t>
            </w:r>
          </w:p>
        </w:tc>
        <w:tc>
          <w:tcPr>
            <w:tcW w:type="dxa" w:w="5285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Ordens, falhas, bloqueio, APR/PT e registros.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07_EVENTO_E_PRESERVACAO</w:t>
            </w:r>
          </w:p>
        </w:tc>
        <w:tc>
          <w:tcPr>
            <w:tcW w:type="dxa" w:w="5285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Relatos, fotos, isolamento, inspeção e cadeia documental.</w:t>
            </w:r>
          </w:p>
        </w:tc>
      </w:tr>
      <w:tr>
        <w:tc>
          <w:tcPr>
            <w:tcW w:type="dxa" w:w="5285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08_EVIDENCIAS_E_MATRIZES</w:t>
            </w:r>
          </w:p>
        </w:tc>
        <w:tc>
          <w:tcPr>
            <w:tcW w:type="dxa" w:w="5285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Cronologia, fatos, fontes, confiabilidade e lacunas.</w:t>
            </w:r>
          </w:p>
        </w:tc>
      </w:tr>
      <w:tr>
        <w:tc>
          <w:tcPr>
            <w:tcW w:type="dxa" w:w="5285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09_PENDENCIAS_E_GATE</w:t>
            </w:r>
          </w:p>
        </w:tc>
        <w:tc>
          <w:tcPr>
            <w:tcW w:type="dxa" w:w="5285"/>
            <w:shd w:fill="F7F9FB"/>
            <w:vAlign w:val="center"/>
            <w:tcMar>
              <w:top w:w="18" w:type="dxa"/>
              <w:start w:w="18" w:type="dxa"/>
              <w:bottom w:w="18" w:type="dxa"/>
              <w:end w:w="18" w:type="dxa"/>
            </w:tcMar>
          </w:tcPr>
          <w:p>
            <w:pPr>
              <w:spacing w:before="0" w:after="0" w:line="240" w:lineRule="auto"/>
            </w:pPr>
            <w:r>
              <w:rPr>
                <w:sz w:val="12"/>
              </w:rPr>
            </w:r>
            <w:r>
              <w:rPr>
                <w:rFonts w:ascii="Aptos" w:hAnsi="Aptos"/>
                <w:b w:val="0"/>
                <w:color w:val="24384B"/>
                <w:sz w:val="12"/>
              </w:rPr>
              <w:t>Solicitações, prazos, decisão e versões de saída.</w:t>
            </w:r>
          </w:p>
        </w:tc>
      </w:tr>
    </w:tbl>
    <w:p>
      <w:r>
        <w:br w:type="page"/>
      </w:r>
    </w:p>
    <w:p>
      <w:pPr>
        <w:pStyle w:val="Heading1"/>
      </w:pPr>
      <w:r>
        <w:t>6. Cronologia fictícia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23"/>
        <w:gridCol w:w="3523"/>
        <w:gridCol w:w="3523"/>
      </w:tblGrid>
      <w:tr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DATA</w:t>
            </w:r>
          </w:p>
        </w:tc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EVENTO</w:t>
            </w:r>
          </w:p>
        </w:tc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IMPACTO DOCUMENTAL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01/2025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Início do P1.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Configuração original.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06/2025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Apreciação de riscos do P1 revisada.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Base anterior à reforma.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08/2025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Ordem de reforma aprovada.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Início da mudança.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09/2025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Instalação do novo comando e dispositivo de detecção.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Transição para P2.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10/2025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Treinamento realizado.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Anterior ao aceite final informado.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11/2025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Relatório de validação emitido.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Anexos incompletos.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03/2026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OS registra falha intermitente de sensor.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Ação e causa não totalmente documentadas.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12/05/2026 09:18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Ciclo interrompido durante produção.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Início do evento.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12/05/2026 09:21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Operador aproxima-se da zona de trabalho.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Sequência exata em disputa documental.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12/05/2026 09:24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Ocorrência e parada.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Registros contemporâneos limitados.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12/05/2026 09:59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Máquina formalmente isolada.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35 min após evento.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13/05/2026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Inspeção técnica iniciada.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Alguns ajustes já haviam ocorrido.</w:t>
            </w:r>
          </w:p>
        </w:tc>
      </w:tr>
    </w:tbl>
    <w:p>
      <w:pPr>
        <w:pStyle w:val="Heading1"/>
      </w:pPr>
      <w:r>
        <w:t>7. Matriz fato × configuração × evidência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6446520" cy="3626167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LU-CFM-004-003_Mapa_Documental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46520" cy="362616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  <w:color w:val="667482"/>
          <w:sz w:val="14"/>
        </w:rPr>
        <w:t>O gate depende da ligação entre configuração, atividade, período e evidência.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62"/>
        <w:gridCol w:w="1762"/>
        <w:gridCol w:w="1762"/>
        <w:gridCol w:w="1762"/>
        <w:gridCol w:w="1762"/>
        <w:gridCol w:w="1762"/>
      </w:tblGrid>
      <w:tr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FATO</w:t>
            </w:r>
          </w:p>
        </w:tc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DESCRIÇÃO</w:t>
            </w:r>
          </w:p>
        </w:tc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PERÍODO</w:t>
            </w:r>
          </w:p>
        </w:tc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EVIDÊNCIA</w:t>
            </w:r>
          </w:p>
        </w:tc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CONFIABILIDADE</w:t>
            </w:r>
          </w:p>
        </w:tc>
        <w:tc>
          <w:tcPr>
            <w:tcW w:type="dxa" w:w="1762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LACUNA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F-01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 PH-02 foi reformada em 09/2025.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P2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Projeto, OS e diagramas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Aceite final e algumas revisões pendentes.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F-02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Treinamento ocorreu antes do aceite final.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P2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Registros de treinamento e cronologia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Confirmar conteúdo e condição demonstrada.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F-03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Houve registro de falha intermitente de sensor.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P2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OS de 03/2026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Não há demonstração de vínculo com o evento.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F-04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O checklist do turno não registrou anomalia.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P3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Checklist 12/05/2026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Checklist não substitui teste funcional.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F-05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O ciclo foi interrompido.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P3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Produção, relatos e paradas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Motivo técnico não documentado integralmente.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F-06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O operador entrou na zona de trabalho.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P3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Relatos e fotos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Sequência e estado do sistema divergem.</w:t>
            </w:r>
          </w:p>
        </w:tc>
      </w:tr>
      <w:tr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F-07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 máquina foi isolada após o evento.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P4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Registro de isolamento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Alta</w:t>
            </w:r>
          </w:p>
        </w:tc>
        <w:tc>
          <w:tcPr>
            <w:tcW w:type="dxa" w:w="1762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Intervalo de 35 min deve ser explicado.</w:t>
            </w:r>
          </w:p>
        </w:tc>
      </w:tr>
      <w:tr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F-08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Fotos posteriores mostram configuração alterada.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P4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Registro fotográfico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Média</w:t>
            </w:r>
          </w:p>
        </w:tc>
        <w:tc>
          <w:tcPr>
            <w:tcW w:type="dxa" w:w="1762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2"/>
              </w:rPr>
              <w:t>Separar fotos contemporâneas e posteriores.</w:t>
            </w:r>
          </w:p>
        </w:tc>
      </w:tr>
    </w:tbl>
    <w:p>
      <w:pPr>
        <w:pStyle w:val="Heading1"/>
      </w:pPr>
      <w:r>
        <w:t>8. Pendências prioritárias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14"/>
        <w:gridCol w:w="2114"/>
        <w:gridCol w:w="2114"/>
        <w:gridCol w:w="2114"/>
        <w:gridCol w:w="2114"/>
      </w:tblGrid>
      <w:tr>
        <w:tc>
          <w:tcPr>
            <w:tcW w:type="dxa" w:w="2114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ID</w:t>
            </w:r>
          </w:p>
        </w:tc>
        <w:tc>
          <w:tcPr>
            <w:tcW w:type="dxa" w:w="2114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AÇÃO</w:t>
            </w:r>
          </w:p>
        </w:tc>
        <w:tc>
          <w:tcPr>
            <w:tcW w:type="dxa" w:w="2114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RESPONSÁVEL</w:t>
            </w:r>
          </w:p>
        </w:tc>
        <w:tc>
          <w:tcPr>
            <w:tcW w:type="dxa" w:w="2114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PRAZO</w:t>
            </w:r>
          </w:p>
        </w:tc>
        <w:tc>
          <w:tcPr>
            <w:tcW w:type="dxa" w:w="2114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IMPACTO</w:t>
            </w:r>
          </w:p>
        </w:tc>
      </w:tr>
      <w:tr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P-01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Obter apreciação de riscos posterior à reforma.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Engenharia/SST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5 dias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</w:tr>
      <w:tr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P-02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Obter diagramas revisados e controlados.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Engenharia/Integrador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5 dias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</w:tr>
      <w:tr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P-03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Completar anexos do relatório de validação.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Integrador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7 dias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</w:tr>
      <w:tr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P-04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Confirmar data e escopo do aceite final.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Engenharia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5 dias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</w:tr>
      <w:tr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P-05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Detalhar conteúdo e configuração usada no treinamento.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RH/SST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5 dias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Médio</w:t>
            </w:r>
          </w:p>
        </w:tc>
      </w:tr>
      <w:tr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P-06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Recuperar evidências da OS sobre o sensor.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Manutenção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5 dias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Médio</w:t>
            </w:r>
          </w:p>
        </w:tc>
      </w:tr>
      <w:tr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P-07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Formalizar indisponibilidade de APR/PT.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Produção/SST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3 dias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</w:tr>
      <w:tr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P-08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Classificar fotografias por momento e autoria.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SST/Jurídico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3 dias</w:t>
            </w:r>
          </w:p>
        </w:tc>
        <w:tc>
          <w:tcPr>
            <w:tcW w:type="dxa" w:w="2114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Alto</w:t>
            </w:r>
          </w:p>
        </w:tc>
      </w:tr>
      <w:tr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P-09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Separar achados de ações corretivas no relatório pós-evento.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Engenharia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5 dias</w:t>
            </w:r>
          </w:p>
        </w:tc>
        <w:tc>
          <w:tcPr>
            <w:tcW w:type="dxa" w:w="2114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Médio</w:t>
            </w:r>
          </w:p>
        </w:tc>
      </w:tr>
    </w:tbl>
    <w:p>
      <w:r>
        <w:br w:type="page"/>
      </w:r>
    </w:p>
    <w:p>
      <w:pPr>
        <w:pStyle w:val="Heading1"/>
      </w:pPr>
      <w:r>
        <w:t>9. Gate pré-análise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23"/>
        <w:gridCol w:w="3523"/>
        <w:gridCol w:w="3523"/>
      </w:tblGrid>
      <w:tr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CRITÉRIO</w:t>
            </w:r>
          </w:p>
        </w:tc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STATUS</w:t>
            </w:r>
          </w:p>
        </w:tc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JUSTIFICATIVA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Identificação e escopo definidos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Atendido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Máquina, setor, período e pergunta delimitados.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Configurações P1 e P2 segregadas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Parcial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Documentos existem, mas revisões e aceite estão incompletos.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Alterações e validação documentadas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Não atendido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Apreciação pós-reforma e anexos de validação pendentes.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Capacitação vinculada à configuração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Parcial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Treinamento anterior ao aceite final.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Manutenção e falhas organizadas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Parcial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OS do sensor sem documentação completa.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Sequência contemporânea preservada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Não atendido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Registros limitados e fotos posteriores a ajustes.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Fatos separados de hipóteses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Atendido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Matriz registra limites e confiabilidade.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Base suficiente para conclusão causal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Não atendido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Lacunas críticas impedem conclusão.</w:t>
            </w:r>
          </w:p>
        </w:tc>
      </w:tr>
    </w:tbl>
    <w:p>
      <w:pPr>
        <w:pStyle w:val="KMGQuote"/>
      </w:pPr>
      <w:r>
        <w:t>DECISÃO DEMONSTRATIVA: COMPLEMENTAR E PRESERVAR A BASE. Os documentos permitem organizar configurações, atividades e períodos, porém não sustentam conclusão sobre causa, falha, conformidade, culpa ou responsabilidade.</w:t>
      </w:r>
    </w:p>
    <w:p>
      <w:pPr>
        <w:pStyle w:val="Heading1"/>
      </w:pPr>
      <w:r>
        <w:t>10. Referências e governança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23"/>
        <w:gridCol w:w="3523"/>
        <w:gridCol w:w="3523"/>
      </w:tblGrid>
      <w:tr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REFERÊNCIA</w:t>
            </w:r>
          </w:p>
        </w:tc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USO</w:t>
            </w:r>
          </w:p>
        </w:tc>
        <w:tc>
          <w:tcPr>
            <w:tcW w:type="dxa" w:w="3523"/>
            <w:shd w:fill="12365F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pPr>
              <w:jc w:val="center"/>
            </w:pPr>
            <w:r/>
            <w:r>
              <w:rPr>
                <w:rFonts w:ascii="Aptos" w:hAnsi="Aptos"/>
                <w:b/>
                <w:color w:val="FFFFFF"/>
                <w:sz w:val="14"/>
              </w:rPr>
              <w:t>CONTROLE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NR-12 — Segurança no Trabalho em Máquinas e Equipamentos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Estruturação de documentos sobre máquina, operação, manutenção e sistemas de segurança.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Revalidar o texto vigente e anexos aplicáveis antes da versão comercial.</w:t>
            </w:r>
          </w:p>
        </w:tc>
      </w:tr>
      <w:tr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NR-01 — Gerenciamento de Riscos Ocupacionais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Contexto de identificação de perigos, avaliação e controle.</w:t>
            </w:r>
          </w:p>
        </w:tc>
        <w:tc>
          <w:tcPr>
            <w:tcW w:type="dxa" w:w="3523"/>
            <w:shd w:fill="F7F9FB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Revalidar a versão oficial vigente.</w:t>
            </w:r>
          </w:p>
        </w:tc>
      </w:tr>
      <w:tr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Documentos técnicos fictícios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Manual, diagramas, apreciações, validações e registros.</w:t>
            </w:r>
          </w:p>
        </w:tc>
        <w:tc>
          <w:tcPr>
            <w:tcW w:type="dxa" w:w="3523"/>
            <w:vAlign w:val="center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/>
            <w:r>
              <w:rPr>
                <w:rFonts w:ascii="Aptos" w:hAnsi="Aptos"/>
                <w:b w:val="0"/>
                <w:color w:val="24384B"/>
                <w:sz w:val="13"/>
              </w:rPr>
              <w:t>Não substituem documentos reais do caso concreto.</w:t>
            </w:r>
          </w:p>
        </w:tc>
      </w:tr>
    </w:tbl>
    <w:p>
      <w:pPr>
        <w:pStyle w:val="KMGQuote"/>
      </w:pPr>
      <w:r>
        <w:t>As referências normativas e técnicas devem ser confirmadas nas fontes oficiais vigentes antes da aplicação em caso real.</w:t>
      </w:r>
    </w:p>
    <w:p>
      <w:r>
        <w:br w:type="page"/>
      </w:r>
    </w:p>
    <w:p>
      <w:pPr>
        <w:pStyle w:val="KMGAppendixTitle"/>
        <w:jc w:val="left"/>
      </w:pPr>
      <w:r>
        <w:t>ANEXO - CONTROLES DE RASTREABILIDADE E VALIDAÇÃO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570"/>
      </w:tblGrid>
      <w:tr>
        <w:tc>
          <w:tcPr>
            <w:tcW w:type="dxa" w:w="10570"/>
            <w:shd w:fill="FFF4D6"/>
            <w:vAlign w:val="center"/>
          </w:tcPr>
          <w:p>
            <w:r/>
            <w:r>
              <w:rPr>
                <w:b/>
                <w:color w:val="173B67"/>
                <w:sz w:val="18"/>
              </w:rPr>
              <w:t>Este bloco padroniza rastreabilidade, validação normativa, proteção de dados e bloqueio de mérito. Não converte o caso fictício em laudo, parecer ou conclusão aplicável a caso real.</w:t>
            </w:r>
          </w:p>
        </w:tc>
      </w:tr>
    </w:tbl>
    <w:p/>
    <w:p>
      <w:pPr>
        <w:pStyle w:val="KMGSection"/>
      </w:pPr>
      <w:r>
        <w:t>A. STATUS DO CASO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85"/>
        <w:gridCol w:w="5285"/>
      </w:tblGrid>
      <w:tr>
        <w:tc>
          <w:tcPr>
            <w:tcW w:type="dxa" w:w="23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Campo</w:t>
            </w:r>
          </w:p>
        </w:tc>
        <w:tc>
          <w:tcPr>
            <w:tcW w:type="dxa" w:w="835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Conteúdo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Tipo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Organização documental de máquina reformada e ocorrência fictícia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Papel processual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Demonstração metodológica; não é inspeção, apreciação de riscos ou perícia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Fase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Caso fictício preenchido - demonstração metodológica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Etapa atual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Configurações temporais organizadas; documentos pós-reforma e estado no evento pendentes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Documentos considerados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manual, apreciações, diagramas, projeto, treinamento, OS, checklists e fotos fictícias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Pendências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apreciação pós-reforma, diagramas controlados, anexos de validação, aceite e registros contemporâneos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Normas/temas correlatos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NR-12; NR-10 quando aplicável; NR-01; referências técnicas de máquinas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Evidências/EVID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EVID-MAQ-001, EVID-MAQ-002, EVID-MAQ-003, EVID-MAQ-004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Próximo documento</w:t>
            </w:r>
          </w:p>
        </w:tc>
        <w:tc>
          <w:tcPr>
            <w:tcW w:type="dxa" w:w="8352"/>
            <w:vAlign w:val="center"/>
          </w:tcPr>
          <w:p>
            <w:r/>
            <w:r>
              <w:rPr>
                <w:b w:val="0"/>
                <w:sz w:val="16"/>
              </w:rPr>
              <w:t>Matriz configuração-atividade-evidência e inspeção documental dirigida</w:t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Evolução estimada</w:t>
            </w:r>
          </w:p>
        </w:tc>
        <w:tc>
          <w:tcPr>
            <w:tcW w:type="dxa" w:w="83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70% metodológico; causa e conformidade bloqueadas</w:t>
            </w:r>
          </w:p>
        </w:tc>
      </w:tr>
      <w:tr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Fontes de referência</w:t>
            </w:r>
          </w:p>
        </w:tc>
        <w:tc>
          <w:tcPr>
            <w:tcW w:type="dxa" w:w="8352"/>
            <w:vAlign w:val="center"/>
          </w:tcPr>
          <w:p>
            <w:r>
              <w:t>Normas vigentes e fontes técnicas aplicáveis</w:t>
            </w:r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2304"/>
            <w:vAlign w:val="center"/>
            <w:shd w:fill="F4F7F9"/>
          </w:tcPr>
          <w:p>
            <w:r>
              <w:t>Data da revisão documental</w:t>
            </w:r>
            <w:r>
              <w:rPr>
                <w:b w:val="0"/>
                <w:sz w:val="16"/>
              </w:rPr>
            </w:r>
          </w:p>
        </w:tc>
        <w:tc>
          <w:tcPr>
            <w:tcW w:type="dxa" w:w="8352"/>
            <w:vAlign w:val="center"/>
            <w:shd w:fill="F4F7F9"/>
          </w:tcPr>
          <w:p>
            <w:r>
              <w:t>05/08/2026</w:t>
            </w:r>
            <w:r>
              <w:rPr>
                <w:b w:val="0"/>
                <w:sz w:val="16"/>
              </w:rPr>
            </w:r>
          </w:p>
        </w:tc>
      </w:tr>
    </w:tbl>
    <w:p/>
    <w:p>
      <w:pPr>
        <w:pStyle w:val="KMGSection"/>
      </w:pPr>
      <w:r>
        <w:t>B. CONTROLE EVID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62"/>
        <w:gridCol w:w="1762"/>
        <w:gridCol w:w="1762"/>
        <w:gridCol w:w="1762"/>
        <w:gridCol w:w="1762"/>
        <w:gridCol w:w="1762"/>
      </w:tblGrid>
      <w:tr>
        <w:tc>
          <w:tcPr>
            <w:tcW w:type="dxa" w:w="115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Código</w:t>
            </w:r>
          </w:p>
        </w:tc>
        <w:tc>
          <w:tcPr>
            <w:tcW w:type="dxa" w:w="288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Descrição</w:t>
            </w:r>
          </w:p>
        </w:tc>
        <w:tc>
          <w:tcPr>
            <w:tcW w:type="dxa" w:w="1296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Situação</w:t>
            </w:r>
          </w:p>
        </w:tc>
        <w:tc>
          <w:tcPr>
            <w:tcW w:type="dxa" w:w="144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Confiabilidade</w:t>
            </w:r>
          </w:p>
        </w:tc>
        <w:tc>
          <w:tcPr>
            <w:tcW w:type="dxa" w:w="2448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Uso técnico</w:t>
            </w:r>
          </w:p>
        </w:tc>
        <w:tc>
          <w:tcPr>
            <w:tcW w:type="dxa" w:w="230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Próxima ação</w:t>
            </w:r>
          </w:p>
        </w:tc>
      </w:tr>
      <w:tr>
        <w:tc>
          <w:tcPr>
            <w:tcW w:type="dxa" w:w="1152"/>
            <w:vAlign w:val="center"/>
          </w:tcPr>
          <w:p>
            <w:r/>
            <w:r>
              <w:rPr>
                <w:b w:val="0"/>
                <w:sz w:val="16"/>
              </w:rPr>
              <w:t>EVID-MAQ-001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Identificação e manual da PH-02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b w:val="0"/>
                <w:sz w:val="16"/>
              </w:rPr>
              <w:t>Recebido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b w:val="0"/>
                <w:sz w:val="16"/>
              </w:rPr>
              <w:t>Alta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delimitar máquina e limites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preservar versões</w:t>
            </w:r>
          </w:p>
        </w:tc>
      </w:tr>
      <w:tr>
        <w:tc>
          <w:tcPr>
            <w:tcW w:type="dxa" w:w="11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EVID-MAQ-002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Apreciação de riscos anterior</w:t>
            </w:r>
          </w:p>
        </w:tc>
        <w:tc>
          <w:tcPr>
            <w:tcW w:type="dxa" w:w="129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Recebido</w:t>
            </w:r>
          </w:p>
        </w:tc>
        <w:tc>
          <w:tcPr>
            <w:tcW w:type="dxa" w:w="144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Alta</w:t>
            </w:r>
          </w:p>
        </w:tc>
        <w:tc>
          <w:tcPr>
            <w:tcW w:type="dxa" w:w="2448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configuração P1</w:t>
            </w:r>
          </w:p>
        </w:tc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não extrapolar para P2/P3</w:t>
            </w:r>
          </w:p>
        </w:tc>
      </w:tr>
      <w:tr>
        <w:tc>
          <w:tcPr>
            <w:tcW w:type="dxa" w:w="1152"/>
            <w:vAlign w:val="center"/>
          </w:tcPr>
          <w:p>
            <w:r/>
            <w:r>
              <w:rPr>
                <w:b w:val="0"/>
                <w:sz w:val="16"/>
              </w:rPr>
              <w:t>EVID-MAQ-003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Projeto e diagramas da reforma</w:t>
            </w:r>
          </w:p>
        </w:tc>
        <w:tc>
          <w:tcPr>
            <w:tcW w:type="dxa" w:w="1296"/>
            <w:vAlign w:val="center"/>
          </w:tcPr>
          <w:p>
            <w:r/>
            <w:r>
              <w:rPr>
                <w:b w:val="0"/>
                <w:sz w:val="16"/>
              </w:rPr>
              <w:t>Parcial</w:t>
            </w:r>
          </w:p>
        </w:tc>
        <w:tc>
          <w:tcPr>
            <w:tcW w:type="dxa" w:w="1440"/>
            <w:vAlign w:val="center"/>
          </w:tcPr>
          <w:p>
            <w:r/>
            <w:r>
              <w:rPr>
                <w:b w:val="0"/>
                <w:sz w:val="16"/>
              </w:rPr>
              <w:t>Média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configuração P2</w:t>
            </w:r>
          </w:p>
        </w:tc>
        <w:tc>
          <w:tcPr>
            <w:tcW w:type="dxa" w:w="2304"/>
            <w:vAlign w:val="center"/>
          </w:tcPr>
          <w:p>
            <w:r/>
            <w:r>
              <w:rPr>
                <w:b w:val="0"/>
                <w:sz w:val="16"/>
              </w:rPr>
              <w:t>obter revisão controlada</w:t>
            </w:r>
          </w:p>
        </w:tc>
      </w:tr>
      <w:tr>
        <w:tc>
          <w:tcPr>
            <w:tcW w:type="dxa" w:w="115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EVID-MAQ-004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Fotos e registros pós-evento</w:t>
            </w:r>
          </w:p>
        </w:tc>
        <w:tc>
          <w:tcPr>
            <w:tcW w:type="dxa" w:w="1296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Parcial</w:t>
            </w:r>
          </w:p>
        </w:tc>
        <w:tc>
          <w:tcPr>
            <w:tcW w:type="dxa" w:w="144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Baixa/Média</w:t>
            </w:r>
          </w:p>
        </w:tc>
        <w:tc>
          <w:tcPr>
            <w:tcW w:type="dxa" w:w="2448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evidência material</w:t>
            </w:r>
          </w:p>
        </w:tc>
        <w:tc>
          <w:tcPr>
            <w:tcW w:type="dxa" w:w="230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confirmar temporalidade e alterações</w:t>
            </w:r>
          </w:p>
        </w:tc>
      </w:tr>
    </w:tbl>
    <w:p/>
    <w:p>
      <w:pPr>
        <w:pStyle w:val="KMGSection"/>
      </w:pPr>
      <w:r>
        <w:t>C. MATRIZ FATO -&gt; EVIDÊNCIA -&gt; ANÁLISE TÉCNICA -&gt; CONCLUSÃO LIMITADA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42"/>
        <w:gridCol w:w="2642"/>
        <w:gridCol w:w="2642"/>
        <w:gridCol w:w="2642"/>
      </w:tblGrid>
      <w:tr>
        <w:tc>
          <w:tcPr>
            <w:tcW w:type="dxa" w:w="259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Fato fictício</w:t>
            </w:r>
          </w:p>
        </w:tc>
        <w:tc>
          <w:tcPr>
            <w:tcW w:type="dxa" w:w="259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Evidência associada</w:t>
            </w:r>
          </w:p>
        </w:tc>
        <w:tc>
          <w:tcPr>
            <w:tcW w:type="dxa" w:w="288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Análise técnica possível</w:t>
            </w:r>
          </w:p>
        </w:tc>
        <w:tc>
          <w:tcPr>
            <w:tcW w:type="dxa" w:w="288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Conclusão limitada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A máquina foi reformada em 09/2025.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Projeto, OS e diagramas.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A configuração mudou e exige documentação específica.</w:t>
            </w:r>
          </w:p>
        </w:tc>
        <w:tc>
          <w:tcPr>
            <w:tcW w:type="dxa" w:w="2880"/>
            <w:vAlign w:val="center"/>
          </w:tcPr>
          <w:p>
            <w:r/>
            <w:r>
              <w:rPr>
                <w:b w:val="0"/>
                <w:sz w:val="16"/>
              </w:rPr>
              <w:t>Não usar documentos anteriores para concluir sobre a configuração posterior.</w:t>
            </w:r>
          </w:p>
        </w:tc>
      </w:tr>
      <w:tr>
        <w:tc>
          <w:tcPr>
            <w:tcW w:type="dxa" w:w="259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O ciclo foi interrompido antes da intervenção.</w:t>
            </w:r>
          </w:p>
        </w:tc>
        <w:tc>
          <w:tcPr>
            <w:tcW w:type="dxa" w:w="259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Produção, relatos e paradas.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A interrupção é registrável, mas o estado dos dispositivos não está preservado.</w:t>
            </w:r>
          </w:p>
        </w:tc>
        <w:tc>
          <w:tcPr>
            <w:tcW w:type="dxa" w:w="288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Não concluir causa, falha ou violação normativa.</w:t>
            </w:r>
          </w:p>
        </w:tc>
      </w:tr>
    </w:tbl>
    <w:p/>
    <w:p>
      <w:pPr>
        <w:pStyle w:val="KMGSection"/>
      </w:pPr>
      <w:r>
        <w:t>D. VALIDAÇÃO NORMATIVA DIRIGIDA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42"/>
        <w:gridCol w:w="2642"/>
        <w:gridCol w:w="2642"/>
        <w:gridCol w:w="2642"/>
      </w:tblGrid>
      <w:tr>
        <w:tc>
          <w:tcPr>
            <w:tcW w:type="dxa" w:w="1584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NR/Tema</w:t>
            </w:r>
          </w:p>
        </w:tc>
        <w:tc>
          <w:tcPr>
            <w:tcW w:type="dxa" w:w="2448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Status do controle</w:t>
            </w:r>
          </w:p>
        </w:tc>
        <w:tc>
          <w:tcPr>
            <w:tcW w:type="dxa" w:w="3312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Impacto no caso</w:t>
            </w:r>
          </w:p>
        </w:tc>
        <w:tc>
          <w:tcPr>
            <w:tcW w:type="dxa" w:w="3600"/>
            <w:vAlign w:val="center"/>
            <w:shd w:fill="173B67"/>
          </w:tcPr>
          <w:p>
            <w:r/>
            <w:r>
              <w:rPr>
                <w:b/>
                <w:color w:val="FFFFFF"/>
                <w:sz w:val="17"/>
              </w:rPr>
              <w:t>Ação antes do uso real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b w:val="0"/>
                <w:sz w:val="16"/>
              </w:rPr>
              <w:t>NR-12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Conferência externa obrigatória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b w:val="0"/>
                <w:sz w:val="16"/>
              </w:rPr>
              <w:t>máquinas, proteções, sistemas e reformas</w:t>
            </w:r>
          </w:p>
        </w:tc>
        <w:tc>
          <w:tcPr>
            <w:tcW w:type="dxa" w:w="3600"/>
            <w:vAlign w:val="center"/>
          </w:tcPr>
          <w:p>
            <w:r/>
            <w:r>
              <w:rPr>
                <w:b w:val="0"/>
                <w:sz w:val="16"/>
              </w:rPr>
              <w:t>confirmar texto e anexos vigentes</w:t>
            </w:r>
          </w:p>
        </w:tc>
      </w:tr>
      <w:tr>
        <w:tc>
          <w:tcPr>
            <w:tcW w:type="dxa" w:w="158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NR-10</w:t>
            </w:r>
          </w:p>
        </w:tc>
        <w:tc>
          <w:tcPr>
            <w:tcW w:type="dxa" w:w="2448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Correlata quando houver instalações/serviços elétricos</w:t>
            </w:r>
          </w:p>
        </w:tc>
        <w:tc>
          <w:tcPr>
            <w:tcW w:type="dxa" w:w="33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diagramas e intervenções elétricas</w:t>
            </w:r>
          </w:p>
        </w:tc>
        <w:tc>
          <w:tcPr>
            <w:tcW w:type="dxa" w:w="360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validar aplicabilidade no caso real</w:t>
            </w:r>
          </w:p>
        </w:tc>
      </w:tr>
      <w:tr>
        <w:tc>
          <w:tcPr>
            <w:tcW w:type="dxa" w:w="1584"/>
            <w:vAlign w:val="center"/>
          </w:tcPr>
          <w:p>
            <w:r/>
            <w:r>
              <w:rPr>
                <w:b w:val="0"/>
                <w:sz w:val="16"/>
              </w:rPr>
              <w:t>NR-01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b w:val="0"/>
                <w:sz w:val="16"/>
              </w:rPr>
              <w:t>Correlata</w:t>
            </w:r>
          </w:p>
        </w:tc>
        <w:tc>
          <w:tcPr>
            <w:tcW w:type="dxa" w:w="3312"/>
            <w:vAlign w:val="center"/>
          </w:tcPr>
          <w:p>
            <w:r/>
            <w:r>
              <w:rPr>
                <w:b w:val="0"/>
                <w:sz w:val="16"/>
              </w:rPr>
              <w:t>gestão de riscos e mudanças</w:t>
            </w:r>
          </w:p>
        </w:tc>
        <w:tc>
          <w:tcPr>
            <w:tcW w:type="dxa" w:w="3600"/>
            <w:vAlign w:val="center"/>
          </w:tcPr>
          <w:p>
            <w:r/>
            <w:r>
              <w:rPr>
                <w:b w:val="0"/>
                <w:sz w:val="16"/>
              </w:rPr>
              <w:t>vincular a inventário/PGR</w:t>
            </w:r>
          </w:p>
        </w:tc>
      </w:tr>
      <w:tr>
        <w:tc>
          <w:tcPr>
            <w:tcW w:type="dxa" w:w="1584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Normas técnicas</w:t>
            </w:r>
          </w:p>
        </w:tc>
        <w:tc>
          <w:tcPr>
            <w:tcW w:type="dxa" w:w="2448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Definir conforme máquina e sistema</w:t>
            </w:r>
          </w:p>
        </w:tc>
        <w:tc>
          <w:tcPr>
            <w:tcW w:type="dxa" w:w="3312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critérios de projeto e validação</w:t>
            </w:r>
          </w:p>
        </w:tc>
        <w:tc>
          <w:tcPr>
            <w:tcW w:type="dxa" w:w="3600"/>
            <w:vAlign w:val="center"/>
            <w:shd w:fill="F4F7F9"/>
          </w:tcPr>
          <w:p>
            <w:r/>
            <w:r>
              <w:rPr>
                <w:b w:val="0"/>
                <w:sz w:val="16"/>
              </w:rPr>
              <w:t>selecionar por escopo e edição vigente</w:t>
            </w:r>
          </w:p>
        </w:tc>
      </w:tr>
    </w:tbl>
    <w:p/>
    <w:p>
      <w:pPr>
        <w:pStyle w:val="KMGNote"/>
      </w:pPr>
      <w:r>
        <w:t>Ressalva normativa: verificação interna realizada com base na Fontes de referência e no controle normativo indicado. Antes de protocolo, treinamento, consultoria, conclusão definitiva ou aplicação em caso real, confirmar o texto vigente no portal oficial do Ministério do Trabalho e Emprego e nas demais fontes técnicas aplicáveis.</w:t>
      </w:r>
    </w:p>
    <w:p>
      <w:pPr>
        <w:pStyle w:val="KMGSection"/>
      </w:pPr>
      <w:r>
        <w:t>E. LGPD, SIGILO E BLOQUEIO DE MÉRITO</w:t>
      </w:r>
    </w:p>
    <w:p>
      <w:pPr>
        <w:pStyle w:val="ListBullet"/>
      </w:pPr>
      <w:r>
        <w:t>Tratar apenas dados necessários à finalidade técnica; anonimizar exemplos e restringir dados pessoais, de saúde, comerciais ou estratégicos.</w:t>
      </w:r>
    </w:p>
    <w:p>
      <w:pPr>
        <w:pStyle w:val="ListBullet"/>
      </w:pPr>
      <w:r>
        <w:t>Preservar originais, registrar cópias de trabalho, versão, origem, data, responsável e restrição de acesso.</w:t>
      </w:r>
    </w:p>
    <w:p>
      <w:pPr>
        <w:pStyle w:val="ListBullet"/>
      </w:pPr>
      <w:r>
        <w:t>Não preencher lacunas por suposição, estimativa ou cálculo não verificado.</w:t>
      </w:r>
    </w:p>
    <w:p>
      <w:pPr>
        <w:pStyle w:val="ListBullet"/>
      </w:pPr>
      <w:r>
        <w:t>Não concluir causa, falha de projeto, conformidade, culpa ou responsabilidade sem inspeção, configuração preservada, documentação controlada, testes e análise técnica do caso real.</w:t>
      </w:r>
    </w:p>
    <w:p>
      <w:pPr>
        <w:pStyle w:val="ListBullet"/>
      </w:pPr>
      <w:r>
        <w:t>O gate deve ser classificado como APROVADO, APROVADO COM RESSALVAS, REVISAR ou REPROVADO e precisa de validação formal do responsável técnico.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570"/>
      </w:tblGrid>
      <w:tr>
        <w:tc>
          <w:tcPr>
            <w:tcW w:type="dxa" w:w="10570"/>
            <w:shd w:fill="FCE8E6"/>
            <w:vAlign w:val="center"/>
          </w:tcPr>
          <w:p>
            <w:r>
              <w:t>Nota de leitura: a ilustração técnica é didática, sem escala e não representa inspeção ou reconstrução pericial. Os pontos indicados devem ser confrontados com documentos, registros, versões da máquina e inspeção do caso real.</w:t>
            </w:r>
          </w:p>
        </w:tc>
      </w:tr>
    </w:tbl>
    <w:p/>
    <w:sectPr>
      <w:headerReference w:type="default" r:id="rId9"/>
      <w:footerReference w:type="default" r:id="rId10"/>
      <w:headerReference w:type="first" r:id="rId14"/>
      <w:footerReference w:type="first" r:id="rId15"/>
      <w:headerReference w:type="even" r:id="rId16"/>
      <w:footerReference w:type="even" r:id="rId17"/>
      <w:pgSz w:w="12240" w:h="15840"/>
      <w:pgMar w:top="720" w:right="835" w:bottom="720" w:left="83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MAQ-004 | Emissão 05/08/2026 | Material de apoio técnico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MAQ-004 | Emissão 05/08/2026 | Material de apoio técnico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4"/>
      </w:rPr>
      <w:t>KIT-001 v2.6 | MAQ-004 | Emissão 05/08/2026 | Material de apoio técnico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667482"/>
        <w:sz w:val="13"/>
      </w:rPr>
      <w:t>KMG ENGINEERING INTELLIGENCE | MAQ-004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ptos" w:hAnsi="Aptos"/>
      <w:color w:val="24384B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12365F"/>
      <w:sz w:val="29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17365D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12365F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MGEyebrow">
    <w:name w:val="KMG Eyebrow"/>
    <w:rPr>
      <w:rFonts w:ascii="Aptos" w:hAnsi="Aptos"/>
      <w:b/>
      <w:color w:val="667482"/>
      <w:sz w:val="15"/>
    </w:rPr>
  </w:style>
  <w:style w:type="paragraph" w:customStyle="1" w:styleId="KMGQuote">
    <w:name w:val="KMG Quote"/>
    <w:pPr>
      <w:spacing w:before="80" w:after="120"/>
      <w:ind w:left="259" w:right="259"/>
    </w:pPr>
    <w:rPr>
      <w:rFonts w:ascii="Aptos Display" w:hAnsi="Aptos Display"/>
      <w:b/>
      <w:color w:val="12365F"/>
      <w:sz w:val="23"/>
    </w:rPr>
  </w:style>
  <w:style w:type="paragraph" w:customStyle="1" w:styleId="KMGAppendixTitle">
    <w:name w:val="KMG Appendix Title"/>
    <w:pPr>
      <w:spacing w:before="160" w:after="160"/>
    </w:pPr>
    <w:rPr>
      <w:rFonts w:ascii="Aptos Display" w:hAnsi="Aptos Display"/>
      <w:b/>
      <w:color w:val="173B67"/>
      <w:sz w:val="36"/>
    </w:rPr>
  </w:style>
  <w:style w:type="paragraph" w:customStyle="1" w:styleId="KMGSection">
    <w:name w:val="KMG Section"/>
    <w:pPr>
      <w:spacing w:before="160" w:after="100"/>
    </w:pPr>
    <w:rPr>
      <w:rFonts w:ascii="Aptos Display" w:hAnsi="Aptos Display"/>
      <w:b/>
      <w:color w:val="173B67"/>
      <w:sz w:val="26"/>
    </w:rPr>
  </w:style>
  <w:style w:type="paragraph" w:customStyle="1" w:styleId="KMGNote">
    <w:name w:val="KMG Note"/>
    <w:pPr>
      <w:spacing w:before="60" w:after="120"/>
    </w:pPr>
    <w:rPr>
      <w:rFonts w:ascii="Aptos" w:hAnsi="Aptos"/>
      <w:color w:val="667788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header" Target="header2.xml"/><Relationship Id="rId15" Type="http://schemas.openxmlformats.org/officeDocument/2006/relationships/footer" Target="footer2.xml"/><Relationship Id="rId16" Type="http://schemas.openxmlformats.org/officeDocument/2006/relationships/header" Target="header3.xml"/><Relationship Id="rId1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MAQ-004 Caso Ficticio Maquina Equipamento v2.6</dc:title>
  <dc:subject>KIT-001 - Preparação Documental e Estruturação Técnica</dc:subject>
  <dc:creator>KMG Engineering Intelligence</dc:creator>
  <cp:keywords>KMG; KIT-001; engenharia; organização documental; rastreabilidade</cp:keywords>
  <dc:description/>
  <cp:lastModifiedBy>KMG Engineering Intelligence</cp:lastModifiedBy>
  <cp:revision>1</cp:revision>
  <dcterms:created xsi:type="dcterms:W3CDTF">2026-08-05T14:52:00Z</dcterms:created>
  <dcterms:modified xsi:type="dcterms:W3CDTF">2026-08-05T13:43:00Z</dcterms:modified>
  <cp:category>Material profissional</cp:category>
  <cp:version>2.6</cp:version>
</cp:coreProperties>
</file>