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KMGTitle"/>
        <w:spacing w:after="100"/>
        <w:pBdr>
          <w:bottom w:val="single" w:sz="10" w:space="3" w:color="123456"/>
        </w:pBdr>
      </w:pPr>
      <w:r>
        <w:t>MOVIMENTAÇÃO DE MATERIAIS NO CORREDOR DE ARMAZENAGEM</w:t>
      </w:r>
    </w:p>
    <w:p>
      <w:pPr>
        <w:spacing w:after="160"/>
      </w:pPr>
      <w:r>
        <w:rPr>
          <w:rFonts w:ascii="Arial" w:hAnsi="Arial"/>
          <w:color w:val="0F8B8D"/>
          <w:sz w:val="28"/>
        </w:rPr>
        <w:t>Caso fictício para organização documental, evidências e gate de pré-análise</w:t>
      </w:r>
    </w:p>
    <w:p>
      <w:pPr>
        <w:spacing w:after="80" w:line="252" w:lineRule="auto"/>
      </w:pPr>
      <w:r>
        <w:rPr>
          <w:rFonts w:ascii="Arial" w:hAnsi="Arial"/>
          <w:b w:val="0"/>
          <w:color w:val="425466"/>
          <w:sz w:val="18"/>
        </w:rPr>
        <w:t>Este caso não foi escrito para apontar culpa. Ele demonstra como organizar uma base documental incompleta, registrar versões divergentes, separar fatos de hipóteses e decidir se há elementos suficientes para avançar.</w:t>
      </w:r>
    </w:p>
    <w:p>
      <w:pPr>
        <w:spacing w:after="80" w:line="252" w:lineRule="auto"/>
      </w:pPr>
      <w:r>
        <w:rPr>
          <w:rFonts w:ascii="Arial" w:hAnsi="Arial"/>
          <w:b w:val="0"/>
          <w:color w:val="425466"/>
          <w:sz w:val="18"/>
        </w:rPr>
        <w:t>Todos os nomes, horários, documentos, imagens e circunstâncias são fictícios. As ilustrações são didáticas, sem escala e não representam reconstrução pericial.</w:t>
      </w:r>
    </w:p>
    <w:p>
      <w:r>
        <w:drawing>
          <wp:inline xmlns:a="http://schemas.openxmlformats.org/drawingml/2006/main" xmlns:pic="http://schemas.openxmlformats.org/drawingml/2006/picture">
            <wp:extent cx="6480000" cy="3286286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kmg_caso01_isometrico_v3_3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480000" cy="3286286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spacing w:before="120" w:after="80"/>
      </w:pPr>
      <w:r>
        <w:rPr>
          <w:rFonts w:ascii="Arial" w:hAnsi="Arial"/>
          <w:b/>
          <w:color w:val="123456"/>
          <w:sz w:val="30"/>
        </w:rPr>
        <w:t>1. Síntese do cenário</w:t>
      </w:r>
    </w:p>
    <w:p>
      <w:pPr>
        <w:spacing w:after="80" w:line="252" w:lineRule="auto"/>
      </w:pPr>
      <w:r>
        <w:rPr>
          <w:rFonts w:ascii="Arial" w:hAnsi="Arial"/>
          <w:b w:val="0"/>
          <w:color w:val="425466"/>
          <w:sz w:val="19"/>
        </w:rPr>
        <w:t>Uma empilhadeira transportava um palete do recebimento para a área de separação. Durante uma conversão no corredor B, a lateral da carga tocou uma proteção metálica e parte das embalagens perdeu estabilidade. A operação foi interrompida e a área isolada. Não houve feridos.</w:t>
      </w:r>
    </w:p>
    <w:p>
      <w:pPr>
        <w:spacing w:after="80" w:line="252" w:lineRule="auto"/>
      </w:pPr>
      <w:r>
        <w:rPr>
          <w:rFonts w:ascii="Arial" w:hAnsi="Arial"/>
          <w:b w:val="0"/>
          <w:color w:val="425466"/>
          <w:sz w:val="19"/>
        </w:rPr>
        <w:t>Nos dias seguintes surgiram versões diferentes sobre a largura útil do corredor, a posição do palete, a presença de material temporário e a revisão do procedimento entregue ao operador.</w:t>
      </w:r>
    </w:p>
    <w:p>
      <w:pPr>
        <w:spacing w:before="120" w:after="80"/>
      </w:pPr>
      <w:r>
        <w:rPr>
          <w:rFonts w:ascii="Arial" w:hAnsi="Arial"/>
          <w:b/>
          <w:color w:val="123456"/>
          <w:sz w:val="30"/>
        </w:rPr>
        <w:t>2. Estrutura de análise documental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421"/>
        <w:gridCol w:w="3421"/>
        <w:gridCol w:w="3421"/>
      </w:tblGrid>
      <w:tr>
        <w:tc>
          <w:tcPr>
            <w:tcW w:type="dxa" w:w="1814"/>
            <w:shd w:fill="123456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/>
                <w:color w:val="FFFFFF"/>
                <w:sz w:val="15"/>
              </w:rPr>
              <w:t>BLOCO</w:t>
            </w:r>
          </w:p>
        </w:tc>
        <w:tc>
          <w:tcPr>
            <w:tcW w:type="dxa" w:w="4252"/>
            <w:shd w:fill="123456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/>
                <w:color w:val="FFFFFF"/>
                <w:sz w:val="15"/>
              </w:rPr>
              <w:t>OBJETIVO</w:t>
            </w:r>
          </w:p>
        </w:tc>
        <w:tc>
          <w:tcPr>
            <w:tcW w:type="dxa" w:w="4139"/>
            <w:shd w:fill="123456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/>
                <w:color w:val="FFFFFF"/>
                <w:sz w:val="15"/>
              </w:rPr>
              <w:t>PONTO DE CONTROLE</w:t>
            </w:r>
          </w:p>
        </w:tc>
      </w:tr>
      <w:tr>
        <w:tc>
          <w:tcPr>
            <w:tcW w:type="dxa" w:w="1814"/>
            <w:shd w:fill="F4F6F8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5"/>
              </w:rPr>
              <w:t>Cenário</w:t>
            </w:r>
          </w:p>
        </w:tc>
        <w:tc>
          <w:tcPr>
            <w:tcW w:type="dxa" w:w="4252"/>
            <w:shd w:fill="F4F6F8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5"/>
              </w:rPr>
              <w:t>Organizar áreas, rota, proteção e fluxo de movimentação.</w:t>
            </w:r>
          </w:p>
        </w:tc>
        <w:tc>
          <w:tcPr>
            <w:tcW w:type="dxa" w:w="4139"/>
            <w:shd w:fill="F4F6F8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5"/>
              </w:rPr>
              <w:t>Não inferir medidas ou condição histórica pela imagem atual.</w:t>
            </w:r>
          </w:p>
        </w:tc>
      </w:tr>
      <w:tr>
        <w:tc>
          <w:tcPr>
            <w:tcW w:type="dxa" w:w="1814"/>
            <w:shd w:fill="FFFFFF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5"/>
              </w:rPr>
              <w:t>Cronologia</w:t>
            </w:r>
          </w:p>
        </w:tc>
        <w:tc>
          <w:tcPr>
            <w:tcW w:type="dxa" w:w="4252"/>
            <w:shd w:fill="FFFFFF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5"/>
              </w:rPr>
              <w:t>Separar o evento dos registros e ações posteriores.</w:t>
            </w:r>
          </w:p>
        </w:tc>
        <w:tc>
          <w:tcPr>
            <w:tcW w:type="dxa" w:w="4139"/>
            <w:shd w:fill="FFFFFF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5"/>
              </w:rPr>
              <w:t>Registrar horário, fonte e grau de confirmação.</w:t>
            </w:r>
          </w:p>
        </w:tc>
      </w:tr>
      <w:tr>
        <w:tc>
          <w:tcPr>
            <w:tcW w:type="dxa" w:w="1814"/>
            <w:shd w:fill="F4F6F8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5"/>
              </w:rPr>
              <w:t>Evidências</w:t>
            </w:r>
          </w:p>
        </w:tc>
        <w:tc>
          <w:tcPr>
            <w:tcW w:type="dxa" w:w="4252"/>
            <w:shd w:fill="F4F6F8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5"/>
              </w:rPr>
              <w:t>Ligar fatos a documentos, imagens, relatos e inspeções.</w:t>
            </w:r>
          </w:p>
        </w:tc>
        <w:tc>
          <w:tcPr>
            <w:tcW w:type="dxa" w:w="4139"/>
            <w:shd w:fill="F4F6F8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5"/>
              </w:rPr>
              <w:t>Avaliar origem, integridade e consistência.</w:t>
            </w:r>
          </w:p>
        </w:tc>
      </w:tr>
      <w:tr>
        <w:tc>
          <w:tcPr>
            <w:tcW w:type="dxa" w:w="1814"/>
            <w:shd w:fill="FFFFFF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5"/>
              </w:rPr>
              <w:t>Pontos a confirmar</w:t>
            </w:r>
          </w:p>
        </w:tc>
        <w:tc>
          <w:tcPr>
            <w:tcW w:type="dxa" w:w="4252"/>
            <w:shd w:fill="FFFFFF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5"/>
              </w:rPr>
              <w:t>Registrar lacunas que podem alterar a interpretação.</w:t>
            </w:r>
          </w:p>
        </w:tc>
        <w:tc>
          <w:tcPr>
            <w:tcW w:type="dxa" w:w="4139"/>
            <w:shd w:fill="FFFFFF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5"/>
              </w:rPr>
              <w:t>Definir impacto, responsável e ação.</w:t>
            </w:r>
          </w:p>
        </w:tc>
      </w:tr>
      <w:tr>
        <w:tc>
          <w:tcPr>
            <w:tcW w:type="dxa" w:w="1814"/>
            <w:shd w:fill="F4F6F8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5"/>
              </w:rPr>
              <w:t>Gate</w:t>
            </w:r>
          </w:p>
        </w:tc>
        <w:tc>
          <w:tcPr>
            <w:tcW w:type="dxa" w:w="4252"/>
            <w:shd w:fill="F4F6F8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5"/>
              </w:rPr>
              <w:t>Decidir se a base permite avançar.</w:t>
            </w:r>
          </w:p>
        </w:tc>
        <w:tc>
          <w:tcPr>
            <w:tcW w:type="dxa" w:w="4139"/>
            <w:shd w:fill="F4F6F8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5"/>
              </w:rPr>
              <w:t>Não transformar ausência de documento em conclusão.</w:t>
            </w:r>
          </w:p>
        </w:tc>
      </w:tr>
    </w:tbl>
    <w:p>
      <w:pPr>
        <w:spacing w:after="0"/>
      </w:pPr>
    </w:p>
    <w:p>
      <w:r>
        <w:br w:type="page"/>
      </w:r>
    </w:p>
    <w:p>
      <w:pPr>
        <w:spacing w:before="120" w:after="80"/>
      </w:pPr>
      <w:r>
        <w:rPr>
          <w:rFonts w:ascii="Arial" w:hAnsi="Arial"/>
          <w:b/>
          <w:color w:val="123456"/>
          <w:sz w:val="30"/>
        </w:rPr>
        <w:t>3. Cronologia documental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565"/>
        <w:gridCol w:w="2565"/>
        <w:gridCol w:w="2565"/>
        <w:gridCol w:w="2565"/>
      </w:tblGrid>
      <w:tr>
        <w:tc>
          <w:tcPr>
            <w:tcW w:type="dxa" w:w="1474"/>
            <w:shd w:fill="123456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/>
                <w:color w:val="FFFFFF"/>
                <w:sz w:val="15"/>
              </w:rPr>
              <w:t>HORÁRIO</w:t>
            </w:r>
          </w:p>
        </w:tc>
        <w:tc>
          <w:tcPr>
            <w:tcW w:type="dxa" w:w="1984"/>
            <w:shd w:fill="123456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/>
                <w:color w:val="FFFFFF"/>
                <w:sz w:val="15"/>
              </w:rPr>
              <w:t>ETAPA</w:t>
            </w:r>
          </w:p>
        </w:tc>
        <w:tc>
          <w:tcPr>
            <w:tcW w:type="dxa" w:w="5102"/>
            <w:shd w:fill="123456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/>
                <w:color w:val="FFFFFF"/>
                <w:sz w:val="15"/>
              </w:rPr>
              <w:t>REGISTRO</w:t>
            </w:r>
          </w:p>
        </w:tc>
        <w:tc>
          <w:tcPr>
            <w:tcW w:type="dxa" w:w="1587"/>
            <w:shd w:fill="123456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/>
                <w:color w:val="FFFFFF"/>
                <w:sz w:val="15"/>
              </w:rPr>
              <w:t>STATUS</w:t>
            </w:r>
          </w:p>
        </w:tc>
      </w:tr>
      <w:tr>
        <w:tc>
          <w:tcPr>
            <w:tcW w:type="dxa" w:w="1474"/>
            <w:shd w:fill="F4F6F8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5"/>
              </w:rPr>
              <w:t>14h10</w:t>
            </w:r>
          </w:p>
        </w:tc>
        <w:tc>
          <w:tcPr>
            <w:tcW w:type="dxa" w:w="1984"/>
            <w:shd w:fill="F4F6F8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5"/>
              </w:rPr>
              <w:t>Preparação</w:t>
            </w:r>
          </w:p>
        </w:tc>
        <w:tc>
          <w:tcPr>
            <w:tcW w:type="dxa" w:w="5102"/>
            <w:shd w:fill="F4F6F8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5"/>
              </w:rPr>
              <w:t>Palete separado na área de recebimento. Registro operacional.</w:t>
            </w:r>
          </w:p>
        </w:tc>
        <w:tc>
          <w:tcPr>
            <w:tcW w:type="dxa" w:w="1587"/>
            <w:shd w:fill="F4F6F8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5"/>
              </w:rPr>
              <w:t>Confirmado</w:t>
            </w:r>
          </w:p>
        </w:tc>
      </w:tr>
      <w:tr>
        <w:tc>
          <w:tcPr>
            <w:tcW w:type="dxa" w:w="1474"/>
            <w:shd w:fill="FFFFFF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5"/>
              </w:rPr>
              <w:t>14h32</w:t>
            </w:r>
          </w:p>
        </w:tc>
        <w:tc>
          <w:tcPr>
            <w:tcW w:type="dxa" w:w="1984"/>
            <w:shd w:fill="FFFFFF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5"/>
              </w:rPr>
              <w:t>Evento</w:t>
            </w:r>
          </w:p>
        </w:tc>
        <w:tc>
          <w:tcPr>
            <w:tcW w:type="dxa" w:w="5102"/>
            <w:shd w:fill="FFFFFF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5"/>
              </w:rPr>
              <w:t>Movimentação pelo corredor B e contato com proteção lateral. Relato + imagem.</w:t>
            </w:r>
          </w:p>
        </w:tc>
        <w:tc>
          <w:tcPr>
            <w:tcW w:type="dxa" w:w="1587"/>
            <w:shd w:fill="FFFFFF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5"/>
              </w:rPr>
              <w:t>Parcial</w:t>
            </w:r>
          </w:p>
        </w:tc>
      </w:tr>
      <w:tr>
        <w:tc>
          <w:tcPr>
            <w:tcW w:type="dxa" w:w="1474"/>
            <w:shd w:fill="F4F6F8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5"/>
              </w:rPr>
              <w:t>14h40</w:t>
            </w:r>
          </w:p>
        </w:tc>
        <w:tc>
          <w:tcPr>
            <w:tcW w:type="dxa" w:w="1984"/>
            <w:shd w:fill="F4F6F8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5"/>
              </w:rPr>
              <w:t>Interrupção</w:t>
            </w:r>
          </w:p>
        </w:tc>
        <w:tc>
          <w:tcPr>
            <w:tcW w:type="dxa" w:w="5102"/>
            <w:shd w:fill="F4F6F8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5"/>
              </w:rPr>
              <w:t>Área isolada e circulação interrompida. Registro de turno.</w:t>
            </w:r>
          </w:p>
        </w:tc>
        <w:tc>
          <w:tcPr>
            <w:tcW w:type="dxa" w:w="1587"/>
            <w:shd w:fill="F4F6F8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5"/>
              </w:rPr>
              <w:t>Confirmado</w:t>
            </w:r>
          </w:p>
        </w:tc>
      </w:tr>
      <w:tr>
        <w:tc>
          <w:tcPr>
            <w:tcW w:type="dxa" w:w="1474"/>
            <w:shd w:fill="FFFFFF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5"/>
              </w:rPr>
              <w:t>15h05</w:t>
            </w:r>
          </w:p>
        </w:tc>
        <w:tc>
          <w:tcPr>
            <w:tcW w:type="dxa" w:w="1984"/>
            <w:shd w:fill="FFFFFF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5"/>
              </w:rPr>
              <w:t>Inspeção inicial</w:t>
            </w:r>
          </w:p>
        </w:tc>
        <w:tc>
          <w:tcPr>
            <w:tcW w:type="dxa" w:w="5102"/>
            <w:shd w:fill="FFFFFF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5"/>
              </w:rPr>
              <w:t>Proteção lateral fotografada; largura útil não medida. Fotos.</w:t>
            </w:r>
          </w:p>
        </w:tc>
        <w:tc>
          <w:tcPr>
            <w:tcW w:type="dxa" w:w="1587"/>
            <w:shd w:fill="FFFFFF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5"/>
              </w:rPr>
              <w:t>Parcial</w:t>
            </w:r>
          </w:p>
        </w:tc>
      </w:tr>
      <w:tr>
        <w:tc>
          <w:tcPr>
            <w:tcW w:type="dxa" w:w="1474"/>
            <w:shd w:fill="F4F6F8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5"/>
              </w:rPr>
              <w:t>16h20</w:t>
            </w:r>
          </w:p>
        </w:tc>
        <w:tc>
          <w:tcPr>
            <w:tcW w:type="dxa" w:w="1984"/>
            <w:shd w:fill="F4F6F8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5"/>
              </w:rPr>
              <w:t>Comunicação</w:t>
            </w:r>
          </w:p>
        </w:tc>
        <w:tc>
          <w:tcPr>
            <w:tcW w:type="dxa" w:w="5102"/>
            <w:shd w:fill="F4F6F8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5"/>
              </w:rPr>
              <w:t>Supervisão e segurança informadas. E-mail interno.</w:t>
            </w:r>
          </w:p>
        </w:tc>
        <w:tc>
          <w:tcPr>
            <w:tcW w:type="dxa" w:w="1587"/>
            <w:shd w:fill="F4F6F8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5"/>
              </w:rPr>
              <w:t>Confirmado</w:t>
            </w:r>
          </w:p>
        </w:tc>
      </w:tr>
      <w:tr>
        <w:tc>
          <w:tcPr>
            <w:tcW w:type="dxa" w:w="1474"/>
            <w:shd w:fill="FFFFFF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5"/>
              </w:rPr>
              <w:t>Dia seguinte</w:t>
            </w:r>
          </w:p>
        </w:tc>
        <w:tc>
          <w:tcPr>
            <w:tcW w:type="dxa" w:w="1984"/>
            <w:shd w:fill="FFFFFF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5"/>
              </w:rPr>
              <w:t>Análise</w:t>
            </w:r>
          </w:p>
        </w:tc>
        <w:tc>
          <w:tcPr>
            <w:tcW w:type="dxa" w:w="5102"/>
            <w:shd w:fill="FFFFFF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5"/>
              </w:rPr>
              <w:t>Versões divergentes sobre rota e posição do palete. Entrevistas.</w:t>
            </w:r>
          </w:p>
        </w:tc>
        <w:tc>
          <w:tcPr>
            <w:tcW w:type="dxa" w:w="1587"/>
            <w:shd w:fill="FFFFFF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5"/>
              </w:rPr>
              <w:t>Divergente</w:t>
            </w:r>
          </w:p>
        </w:tc>
      </w:tr>
    </w:tbl>
    <w:p>
      <w:pPr>
        <w:spacing w:after="0"/>
      </w:pPr>
    </w:p>
    <w:p>
      <w:pPr>
        <w:spacing w:before="120" w:after="80"/>
      </w:pPr>
      <w:r>
        <w:rPr>
          <w:rFonts w:ascii="Arial" w:hAnsi="Arial"/>
          <w:b/>
          <w:color w:val="123456"/>
          <w:sz w:val="30"/>
        </w:rPr>
        <w:t>4. Mapa de evidências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052"/>
        <w:gridCol w:w="2052"/>
        <w:gridCol w:w="2052"/>
        <w:gridCol w:w="2052"/>
        <w:gridCol w:w="2052"/>
      </w:tblGrid>
      <w:tr>
        <w:tc>
          <w:tcPr>
            <w:tcW w:type="dxa" w:w="2551"/>
            <w:shd w:fill="123456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/>
                <w:color w:val="FFFFFF"/>
                <w:sz w:val="14"/>
              </w:rPr>
              <w:t>FATO / QUESTÃO</w:t>
            </w:r>
          </w:p>
        </w:tc>
        <w:tc>
          <w:tcPr>
            <w:tcW w:type="dxa" w:w="2268"/>
            <w:shd w:fill="123456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/>
                <w:color w:val="FFFFFF"/>
                <w:sz w:val="14"/>
              </w:rPr>
              <w:t>FONTES</w:t>
            </w:r>
          </w:p>
        </w:tc>
        <w:tc>
          <w:tcPr>
            <w:tcW w:type="dxa" w:w="1701"/>
            <w:shd w:fill="123456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/>
                <w:color w:val="FFFFFF"/>
                <w:sz w:val="14"/>
              </w:rPr>
              <w:t>CONFIABILIDADE</w:t>
            </w:r>
          </w:p>
        </w:tc>
        <w:tc>
          <w:tcPr>
            <w:tcW w:type="dxa" w:w="1984"/>
            <w:shd w:fill="123456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/>
                <w:color w:val="FFFFFF"/>
                <w:sz w:val="14"/>
              </w:rPr>
              <w:t>LACUNA</w:t>
            </w:r>
          </w:p>
        </w:tc>
        <w:tc>
          <w:tcPr>
            <w:tcW w:type="dxa" w:w="1701"/>
            <w:shd w:fill="123456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/>
                <w:color w:val="FFFFFF"/>
                <w:sz w:val="14"/>
              </w:rPr>
              <w:t>AÇÃO</w:t>
            </w:r>
          </w:p>
        </w:tc>
      </w:tr>
      <w:tr>
        <w:tc>
          <w:tcPr>
            <w:tcW w:type="dxa" w:w="2551"/>
            <w:shd w:fill="F4F6F8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4"/>
              </w:rPr>
              <w:t>A rota utilizada estava definida?</w:t>
            </w:r>
          </w:p>
        </w:tc>
        <w:tc>
          <w:tcPr>
            <w:tcW w:type="dxa" w:w="2268"/>
            <w:shd w:fill="F4F6F8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4"/>
              </w:rPr>
              <w:t>Procedimento; mapa; relato</w:t>
            </w:r>
          </w:p>
        </w:tc>
        <w:tc>
          <w:tcPr>
            <w:tcW w:type="dxa" w:w="1701"/>
            <w:shd w:fill="F4F6F8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4"/>
              </w:rPr>
              <w:t>Média</w:t>
            </w:r>
          </w:p>
        </w:tc>
        <w:tc>
          <w:tcPr>
            <w:tcW w:type="dxa" w:w="1984"/>
            <w:shd w:fill="F4F6F8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4"/>
              </w:rPr>
              <w:t>Mapa vigente não localizado</w:t>
            </w:r>
          </w:p>
        </w:tc>
        <w:tc>
          <w:tcPr>
            <w:tcW w:type="dxa" w:w="1701"/>
            <w:shd w:fill="F4F6F8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4"/>
              </w:rPr>
              <w:t>Solicitar versão vigente</w:t>
            </w:r>
          </w:p>
        </w:tc>
      </w:tr>
      <w:tr>
        <w:tc>
          <w:tcPr>
            <w:tcW w:type="dxa" w:w="2551"/>
            <w:shd w:fill="FFFFFF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4"/>
              </w:rPr>
              <w:t>A largura útil era suficiente?</w:t>
            </w:r>
          </w:p>
        </w:tc>
        <w:tc>
          <w:tcPr>
            <w:tcW w:type="dxa" w:w="2268"/>
            <w:shd w:fill="FFFFFF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4"/>
              </w:rPr>
              <w:t>Fotografias; croqui</w:t>
            </w:r>
          </w:p>
        </w:tc>
        <w:tc>
          <w:tcPr>
            <w:tcW w:type="dxa" w:w="1701"/>
            <w:shd w:fill="FFFFFF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4"/>
              </w:rPr>
              <w:t>Baixa</w:t>
            </w:r>
          </w:p>
        </w:tc>
        <w:tc>
          <w:tcPr>
            <w:tcW w:type="dxa" w:w="1984"/>
            <w:shd w:fill="FFFFFF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4"/>
              </w:rPr>
              <w:t>Sem medição contemporânea</w:t>
            </w:r>
          </w:p>
        </w:tc>
        <w:tc>
          <w:tcPr>
            <w:tcW w:type="dxa" w:w="1701"/>
            <w:shd w:fill="FFFFFF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4"/>
              </w:rPr>
              <w:t>Medir e registrar método</w:t>
            </w:r>
          </w:p>
        </w:tc>
      </w:tr>
      <w:tr>
        <w:tc>
          <w:tcPr>
            <w:tcW w:type="dxa" w:w="2551"/>
            <w:shd w:fill="F4F6F8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4"/>
              </w:rPr>
              <w:t>A proteção lateral estava íntegra?</w:t>
            </w:r>
          </w:p>
        </w:tc>
        <w:tc>
          <w:tcPr>
            <w:tcW w:type="dxa" w:w="2268"/>
            <w:shd w:fill="F4F6F8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4"/>
              </w:rPr>
              <w:t>Fotos; inspeção</w:t>
            </w:r>
          </w:p>
        </w:tc>
        <w:tc>
          <w:tcPr>
            <w:tcW w:type="dxa" w:w="1701"/>
            <w:shd w:fill="F4F6F8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4"/>
              </w:rPr>
              <w:t>Média</w:t>
            </w:r>
          </w:p>
        </w:tc>
        <w:tc>
          <w:tcPr>
            <w:tcW w:type="dxa" w:w="1984"/>
            <w:shd w:fill="F4F6F8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4"/>
              </w:rPr>
              <w:t>Data e condição anterior incertas</w:t>
            </w:r>
          </w:p>
        </w:tc>
        <w:tc>
          <w:tcPr>
            <w:tcW w:type="dxa" w:w="1701"/>
            <w:shd w:fill="F4F6F8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4"/>
              </w:rPr>
              <w:t>Obter registros de manutenção</w:t>
            </w:r>
          </w:p>
        </w:tc>
      </w:tr>
      <w:tr>
        <w:tc>
          <w:tcPr>
            <w:tcW w:type="dxa" w:w="2551"/>
            <w:shd w:fill="FFFFFF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4"/>
              </w:rPr>
              <w:t>Havia obstrução temporária?</w:t>
            </w:r>
          </w:p>
        </w:tc>
        <w:tc>
          <w:tcPr>
            <w:tcW w:type="dxa" w:w="2268"/>
            <w:shd w:fill="FFFFFF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4"/>
              </w:rPr>
              <w:t>Relatos divergentes</w:t>
            </w:r>
          </w:p>
        </w:tc>
        <w:tc>
          <w:tcPr>
            <w:tcW w:type="dxa" w:w="1701"/>
            <w:shd w:fill="FFFFFF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4"/>
              </w:rPr>
              <w:t>Baixa</w:t>
            </w:r>
          </w:p>
        </w:tc>
        <w:tc>
          <w:tcPr>
            <w:tcW w:type="dxa" w:w="1984"/>
            <w:shd w:fill="FFFFFF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4"/>
              </w:rPr>
              <w:t>Sem imagem do momento</w:t>
            </w:r>
          </w:p>
        </w:tc>
        <w:tc>
          <w:tcPr>
            <w:tcW w:type="dxa" w:w="1701"/>
            <w:shd w:fill="FFFFFF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4"/>
              </w:rPr>
              <w:t>Cruzar câmeras e testemunhos</w:t>
            </w:r>
          </w:p>
        </w:tc>
      </w:tr>
      <w:tr>
        <w:tc>
          <w:tcPr>
            <w:tcW w:type="dxa" w:w="2551"/>
            <w:shd w:fill="F4F6F8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4"/>
              </w:rPr>
              <w:t>A circulação foi interrompida?</w:t>
            </w:r>
          </w:p>
        </w:tc>
        <w:tc>
          <w:tcPr>
            <w:tcW w:type="dxa" w:w="2268"/>
            <w:shd w:fill="F4F6F8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4"/>
              </w:rPr>
              <w:t>Registro de turno</w:t>
            </w:r>
          </w:p>
        </w:tc>
        <w:tc>
          <w:tcPr>
            <w:tcW w:type="dxa" w:w="1701"/>
            <w:shd w:fill="F4F6F8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4"/>
              </w:rPr>
              <w:t>Alta</w:t>
            </w:r>
          </w:p>
        </w:tc>
        <w:tc>
          <w:tcPr>
            <w:tcW w:type="dxa" w:w="1984"/>
            <w:shd w:fill="F4F6F8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4"/>
              </w:rPr>
              <w:t>Nenhuma relevante</w:t>
            </w:r>
          </w:p>
        </w:tc>
        <w:tc>
          <w:tcPr>
            <w:tcW w:type="dxa" w:w="1701"/>
            <w:shd w:fill="F4F6F8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4"/>
              </w:rPr>
              <w:t>Manter como fato confirmado</w:t>
            </w:r>
          </w:p>
        </w:tc>
      </w:tr>
    </w:tbl>
    <w:p>
      <w:pPr>
        <w:spacing w:after="0"/>
      </w:pPr>
    </w:p>
    <w:p>
      <w:r>
        <w:br w:type="page"/>
      </w:r>
    </w:p>
    <w:p>
      <w:pPr>
        <w:spacing w:before="120" w:after="80"/>
      </w:pPr>
      <w:r>
        <w:rPr>
          <w:rFonts w:ascii="Arial" w:hAnsi="Arial"/>
          <w:b/>
          <w:color w:val="123456"/>
          <w:sz w:val="30"/>
        </w:rPr>
        <w:t>5. Pendências priorizadas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565"/>
        <w:gridCol w:w="2565"/>
        <w:gridCol w:w="2565"/>
        <w:gridCol w:w="2565"/>
      </w:tblGrid>
      <w:tr>
        <w:tc>
          <w:tcPr>
            <w:tcW w:type="dxa" w:w="850"/>
            <w:shd w:fill="123456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/>
                <w:color w:val="FFFFFF"/>
                <w:sz w:val="15"/>
              </w:rPr>
              <w:t>ID</w:t>
            </w:r>
          </w:p>
        </w:tc>
        <w:tc>
          <w:tcPr>
            <w:tcW w:type="dxa" w:w="4252"/>
            <w:shd w:fill="123456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/>
                <w:color w:val="FFFFFF"/>
                <w:sz w:val="15"/>
              </w:rPr>
              <w:t>PENDÊNCIA</w:t>
            </w:r>
          </w:p>
        </w:tc>
        <w:tc>
          <w:tcPr>
            <w:tcW w:type="dxa" w:w="1304"/>
            <w:shd w:fill="123456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/>
                <w:color w:val="FFFFFF"/>
                <w:sz w:val="15"/>
              </w:rPr>
              <w:t>IMPACTO</w:t>
            </w:r>
          </w:p>
        </w:tc>
        <w:tc>
          <w:tcPr>
            <w:tcW w:type="dxa" w:w="3798"/>
            <w:shd w:fill="123456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/>
                <w:color w:val="FFFFFF"/>
                <w:sz w:val="15"/>
              </w:rPr>
              <w:t>AÇÃO</w:t>
            </w:r>
          </w:p>
        </w:tc>
      </w:tr>
      <w:tr>
        <w:tc>
          <w:tcPr>
            <w:tcW w:type="dxa" w:w="850"/>
            <w:shd w:fill="F4F6F8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5"/>
              </w:rPr>
              <w:t>P-01</w:t>
            </w:r>
          </w:p>
        </w:tc>
        <w:tc>
          <w:tcPr>
            <w:tcW w:type="dxa" w:w="4252"/>
            <w:shd w:fill="F4F6F8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5"/>
              </w:rPr>
              <w:t>Confirmar largura útil e método de medição.</w:t>
            </w:r>
          </w:p>
        </w:tc>
        <w:tc>
          <w:tcPr>
            <w:tcW w:type="dxa" w:w="1304"/>
            <w:shd w:fill="F4F6F8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5"/>
              </w:rPr>
              <w:t>Alto</w:t>
            </w:r>
          </w:p>
        </w:tc>
        <w:tc>
          <w:tcPr>
            <w:tcW w:type="dxa" w:w="3798"/>
            <w:shd w:fill="F4F6F8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5"/>
              </w:rPr>
              <w:t>Medir e registrar local, data, instrumento e responsável.</w:t>
            </w:r>
          </w:p>
        </w:tc>
      </w:tr>
      <w:tr>
        <w:tc>
          <w:tcPr>
            <w:tcW w:type="dxa" w:w="850"/>
            <w:shd w:fill="FFFFFF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5"/>
              </w:rPr>
              <w:t>P-02</w:t>
            </w:r>
          </w:p>
        </w:tc>
        <w:tc>
          <w:tcPr>
            <w:tcW w:type="dxa" w:w="4252"/>
            <w:shd w:fill="FFFFFF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5"/>
              </w:rPr>
              <w:t>Localizar mapa vigente da rota.</w:t>
            </w:r>
          </w:p>
        </w:tc>
        <w:tc>
          <w:tcPr>
            <w:tcW w:type="dxa" w:w="1304"/>
            <w:shd w:fill="FFFFFF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5"/>
              </w:rPr>
              <w:t>Alto</w:t>
            </w:r>
          </w:p>
        </w:tc>
        <w:tc>
          <w:tcPr>
            <w:tcW w:type="dxa" w:w="3798"/>
            <w:shd w:fill="FFFFFF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5"/>
              </w:rPr>
              <w:t>Obter versão controlada e histórico de revisão.</w:t>
            </w:r>
          </w:p>
        </w:tc>
      </w:tr>
      <w:tr>
        <w:tc>
          <w:tcPr>
            <w:tcW w:type="dxa" w:w="850"/>
            <w:shd w:fill="F4F6F8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5"/>
              </w:rPr>
              <w:t>P-03</w:t>
            </w:r>
          </w:p>
        </w:tc>
        <w:tc>
          <w:tcPr>
            <w:tcW w:type="dxa" w:w="4252"/>
            <w:shd w:fill="F4F6F8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5"/>
              </w:rPr>
              <w:t>Confirmar condição anterior da proteção lateral.</w:t>
            </w:r>
          </w:p>
        </w:tc>
        <w:tc>
          <w:tcPr>
            <w:tcW w:type="dxa" w:w="1304"/>
            <w:shd w:fill="F4F6F8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5"/>
              </w:rPr>
              <w:t>Alto</w:t>
            </w:r>
          </w:p>
        </w:tc>
        <w:tc>
          <w:tcPr>
            <w:tcW w:type="dxa" w:w="3798"/>
            <w:shd w:fill="F4F6F8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5"/>
              </w:rPr>
              <w:t>Reunir inspeções, manutenção e imagens anteriores.</w:t>
            </w:r>
          </w:p>
        </w:tc>
      </w:tr>
      <w:tr>
        <w:tc>
          <w:tcPr>
            <w:tcW w:type="dxa" w:w="850"/>
            <w:shd w:fill="FFFFFF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5"/>
              </w:rPr>
              <w:t>P-04</w:t>
            </w:r>
          </w:p>
        </w:tc>
        <w:tc>
          <w:tcPr>
            <w:tcW w:type="dxa" w:w="4252"/>
            <w:shd w:fill="FFFFFF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5"/>
              </w:rPr>
              <w:t>Verificar possível obstrução temporária.</w:t>
            </w:r>
          </w:p>
        </w:tc>
        <w:tc>
          <w:tcPr>
            <w:tcW w:type="dxa" w:w="1304"/>
            <w:shd w:fill="FFFFFF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5"/>
              </w:rPr>
              <w:t>Médio</w:t>
            </w:r>
          </w:p>
        </w:tc>
        <w:tc>
          <w:tcPr>
            <w:tcW w:type="dxa" w:w="3798"/>
            <w:shd w:fill="FFFFFF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5"/>
              </w:rPr>
              <w:t>Cruzar imagens, relatos e registros do turno.</w:t>
            </w:r>
          </w:p>
        </w:tc>
      </w:tr>
      <w:tr>
        <w:tc>
          <w:tcPr>
            <w:tcW w:type="dxa" w:w="850"/>
            <w:shd w:fill="F4F6F8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5"/>
              </w:rPr>
              <w:t>P-05</w:t>
            </w:r>
          </w:p>
        </w:tc>
        <w:tc>
          <w:tcPr>
            <w:tcW w:type="dxa" w:w="4252"/>
            <w:shd w:fill="F4F6F8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5"/>
              </w:rPr>
              <w:t>Consolidar versões dos relatos.</w:t>
            </w:r>
          </w:p>
        </w:tc>
        <w:tc>
          <w:tcPr>
            <w:tcW w:type="dxa" w:w="1304"/>
            <w:shd w:fill="F4F6F8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5"/>
              </w:rPr>
              <w:t>Médio</w:t>
            </w:r>
          </w:p>
        </w:tc>
        <w:tc>
          <w:tcPr>
            <w:tcW w:type="dxa" w:w="3798"/>
            <w:shd w:fill="F4F6F8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5"/>
              </w:rPr>
              <w:t>Registrar convergências, divergências e origem.</w:t>
            </w:r>
          </w:p>
        </w:tc>
      </w:tr>
    </w:tbl>
    <w:p>
      <w:pPr>
        <w:spacing w:after="0"/>
      </w:pPr>
    </w:p>
    <w:p>
      <w:pPr>
        <w:spacing w:before="120" w:after="80"/>
      </w:pPr>
      <w:r>
        <w:rPr>
          <w:rFonts w:ascii="Arial" w:hAnsi="Arial"/>
          <w:b/>
          <w:color w:val="123456"/>
          <w:sz w:val="30"/>
        </w:rPr>
        <w:t>6. Gate de pré-análise</w:t>
      </w:r>
    </w:p>
    <w:p>
      <w:pPr>
        <w:spacing w:after="80" w:line="252" w:lineRule="auto"/>
      </w:pPr>
      <w:r>
        <w:rPr>
          <w:rFonts w:ascii="Arial" w:hAnsi="Arial"/>
          <w:b/>
          <w:color w:val="123456"/>
          <w:sz w:val="19"/>
        </w:rPr>
        <w:t>DECISÃO: complementar a base antes de avançar. Não emitir conclusão sobre causa, responsabilidade ou conformidade antes de tratar as pendências prioritárias e registrar as limitações remanescentes.</w:t>
      </w:r>
    </w:p>
    <w:p>
      <w:pPr>
        <w:spacing w:before="120" w:after="80"/>
      </w:pPr>
      <w:r>
        <w:rPr>
          <w:rFonts w:ascii="Arial" w:hAnsi="Arial"/>
          <w:b/>
          <w:color w:val="123456"/>
          <w:sz w:val="30"/>
        </w:rPr>
        <w:t>7. Lições do caso</w:t>
      </w:r>
    </w:p>
    <w:p>
      <w:pPr>
        <w:pStyle w:val="ListBullet"/>
        <w:spacing w:after="40"/>
      </w:pPr>
      <w:r>
        <w:rPr>
          <w:rFonts w:ascii="Arial" w:hAnsi="Arial"/>
          <w:color w:val="425466"/>
          <w:sz w:val="18"/>
        </w:rPr>
        <w:t>Inventariar antes de interpretar.</w:t>
      </w:r>
    </w:p>
    <w:p>
      <w:pPr>
        <w:pStyle w:val="ListBullet"/>
        <w:spacing w:after="40"/>
      </w:pPr>
      <w:r>
        <w:rPr>
          <w:rFonts w:ascii="Arial" w:hAnsi="Arial"/>
          <w:color w:val="425466"/>
          <w:sz w:val="18"/>
        </w:rPr>
        <w:t>Preservar os arquivos recebidos e registrar a origem.</w:t>
      </w:r>
    </w:p>
    <w:p>
      <w:pPr>
        <w:pStyle w:val="ListBullet"/>
        <w:spacing w:after="40"/>
      </w:pPr>
      <w:r>
        <w:rPr>
          <w:rFonts w:ascii="Arial" w:hAnsi="Arial"/>
          <w:color w:val="425466"/>
          <w:sz w:val="18"/>
        </w:rPr>
        <w:t>Separar fato, evidência, fonte, hipótese e lacuna.</w:t>
      </w:r>
    </w:p>
    <w:p>
      <w:pPr>
        <w:pStyle w:val="ListBullet"/>
        <w:spacing w:after="40"/>
      </w:pPr>
      <w:r>
        <w:rPr>
          <w:rFonts w:ascii="Arial" w:hAnsi="Arial"/>
          <w:color w:val="425466"/>
          <w:sz w:val="18"/>
        </w:rPr>
        <w:t>Não completar medidas, datas ou condições por estimativa.</w:t>
      </w:r>
    </w:p>
    <w:p>
      <w:pPr>
        <w:pStyle w:val="ListBullet"/>
        <w:spacing w:after="40"/>
      </w:pPr>
      <w:r>
        <w:rPr>
          <w:rFonts w:ascii="Arial" w:hAnsi="Arial"/>
          <w:color w:val="425466"/>
          <w:sz w:val="18"/>
        </w:rPr>
        <w:t>Comparar versões vigentes e históricas.</w:t>
      </w:r>
    </w:p>
    <w:p>
      <w:pPr>
        <w:pStyle w:val="ListBullet"/>
        <w:spacing w:after="40"/>
      </w:pPr>
      <w:r>
        <w:rPr>
          <w:rFonts w:ascii="Arial" w:hAnsi="Arial"/>
          <w:color w:val="425466"/>
          <w:sz w:val="18"/>
        </w:rPr>
        <w:t>Registrar o gate, a decisão e as ressalvas.</w:t>
      </w:r>
    </w:p>
    <w:p>
      <w:pPr>
        <w:spacing w:before="120" w:after="80"/>
      </w:pPr>
      <w:r>
        <w:rPr>
          <w:rFonts w:ascii="Arial" w:hAnsi="Arial"/>
          <w:b/>
          <w:color w:val="123456"/>
          <w:sz w:val="30"/>
        </w:rPr>
        <w:t>Aviso de uso</w:t>
      </w:r>
    </w:p>
    <w:p>
      <w:pPr>
        <w:spacing w:after="80" w:line="252" w:lineRule="auto"/>
      </w:pPr>
      <w:r>
        <w:rPr>
          <w:rFonts w:ascii="Arial" w:hAnsi="Arial"/>
          <w:b w:val="0"/>
          <w:color w:val="425466"/>
          <w:sz w:val="18"/>
        </w:rPr>
        <w:t>Material educacional de organização documental. Não substitui inspeção, medição, laudo, parecer, ART, consulta jurídica ou análise do caso concreto.</w:t>
      </w:r>
    </w:p>
    <w:p>
      <w:r>
        <w:br w:type="page"/>
      </w:r>
    </w:p>
    <w:p>
      <w:pPr>
        <w:pStyle w:val="KMGAppendixTitle"/>
        <w:jc w:val="left"/>
      </w:pPr>
      <w:r>
        <w:t>ANEXO - CONTROLES DE RASTREABILIDADE E VALIDAÇÃO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0262"/>
      </w:tblGrid>
      <w:tr>
        <w:tc>
          <w:tcPr>
            <w:tcW w:type="dxa" w:w="10262"/>
            <w:shd w:fill="FFF4D6"/>
            <w:vAlign w:val="center"/>
          </w:tcPr>
          <w:p>
            <w:r/>
            <w:r>
              <w:rPr>
                <w:b/>
                <w:color w:val="173B67"/>
                <w:sz w:val="18"/>
              </w:rPr>
              <w:t>Este bloco padroniza rastreabilidade, validação normativa, proteção de dados e bloqueio de mérito. Não converte o caso fictício em laudo, parecer ou conclusão aplicável a caso real.</w:t>
            </w:r>
          </w:p>
        </w:tc>
      </w:tr>
    </w:tbl>
    <w:p/>
    <w:p>
      <w:pPr>
        <w:pStyle w:val="KMGSection"/>
      </w:pPr>
      <w:r>
        <w:t>A. STATUS DO CASO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31"/>
        <w:gridCol w:w="5131"/>
      </w:tblGrid>
      <w:tr>
        <w:tc>
          <w:tcPr>
            <w:tcW w:type="dxa" w:w="2304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Campo</w:t>
            </w:r>
          </w:p>
        </w:tc>
        <w:tc>
          <w:tcPr>
            <w:tcW w:type="dxa" w:w="8352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Conteúdo</w:t>
            </w:r>
          </w:p>
        </w:tc>
      </w:tr>
      <w:tr>
        <w:tc>
          <w:tcPr>
            <w:tcW w:type="dxa" w:w="2304"/>
            <w:vAlign w:val="center"/>
          </w:tcPr>
          <w:p>
            <w:r/>
            <w:r>
              <w:rPr>
                <w:b w:val="0"/>
                <w:sz w:val="16"/>
              </w:rPr>
              <w:t>Tipo</w:t>
            </w:r>
          </w:p>
        </w:tc>
        <w:tc>
          <w:tcPr>
            <w:tcW w:type="dxa" w:w="8352"/>
            <w:vAlign w:val="center"/>
          </w:tcPr>
          <w:p>
            <w:r/>
            <w:r>
              <w:rPr>
                <w:b w:val="0"/>
                <w:sz w:val="16"/>
              </w:rPr>
              <w:t>Organização documental de ocorrência com movimentação de materiais</w:t>
            </w:r>
          </w:p>
        </w:tc>
      </w:tr>
      <w:tr>
        <w:tc>
          <w:tcPr>
            <w:tcW w:type="dxa" w:w="2304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Papel processual</w:t>
            </w:r>
          </w:p>
        </w:tc>
        <w:tc>
          <w:tcPr>
            <w:tcW w:type="dxa" w:w="8352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Demonstração metodológica; não é reconstrução pericial</w:t>
            </w:r>
          </w:p>
        </w:tc>
      </w:tr>
      <w:tr>
        <w:tc>
          <w:tcPr>
            <w:tcW w:type="dxa" w:w="2304"/>
            <w:vAlign w:val="center"/>
          </w:tcPr>
          <w:p>
            <w:r/>
            <w:r>
              <w:rPr>
                <w:b w:val="0"/>
                <w:sz w:val="16"/>
              </w:rPr>
              <w:t>Fase</w:t>
            </w:r>
          </w:p>
        </w:tc>
        <w:tc>
          <w:tcPr>
            <w:tcW w:type="dxa" w:w="8352"/>
            <w:vAlign w:val="center"/>
          </w:tcPr>
          <w:p>
            <w:r/>
            <w:r>
              <w:rPr>
                <w:b w:val="0"/>
                <w:sz w:val="16"/>
              </w:rPr>
              <w:t>Caso fictício preenchido - demonstração metodológica</w:t>
            </w:r>
          </w:p>
        </w:tc>
      </w:tr>
      <w:tr>
        <w:tc>
          <w:tcPr>
            <w:tcW w:type="dxa" w:w="2304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Etapa atual</w:t>
            </w:r>
          </w:p>
        </w:tc>
        <w:tc>
          <w:tcPr>
            <w:tcW w:type="dxa" w:w="8352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Base organizada; pendências prioritárias mantêm gate em REVISAR</w:t>
            </w:r>
          </w:p>
        </w:tc>
      </w:tr>
      <w:tr>
        <w:tc>
          <w:tcPr>
            <w:tcW w:type="dxa" w:w="2304"/>
            <w:vAlign w:val="center"/>
          </w:tcPr>
          <w:p>
            <w:r/>
            <w:r>
              <w:rPr>
                <w:b w:val="0"/>
                <w:sz w:val="16"/>
              </w:rPr>
              <w:t>Documentos considerados</w:t>
            </w:r>
          </w:p>
        </w:tc>
        <w:tc>
          <w:tcPr>
            <w:tcW w:type="dxa" w:w="8352"/>
            <w:vAlign w:val="center"/>
          </w:tcPr>
          <w:p>
            <w:r/>
            <w:r>
              <w:rPr>
                <w:b w:val="0"/>
                <w:sz w:val="16"/>
              </w:rPr>
              <w:t>ordem, checklist, treinamento, registros, procedimento, layout e relatos fictícios</w:t>
            </w:r>
          </w:p>
        </w:tc>
      </w:tr>
      <w:tr>
        <w:tc>
          <w:tcPr>
            <w:tcW w:type="dxa" w:w="2304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Pendências</w:t>
            </w:r>
          </w:p>
        </w:tc>
        <w:tc>
          <w:tcPr>
            <w:tcW w:type="dxa" w:w="8352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largura útil, posição da carga, materiais temporários, versão do procedimento</w:t>
            </w:r>
          </w:p>
        </w:tc>
      </w:tr>
      <w:tr>
        <w:tc>
          <w:tcPr>
            <w:tcW w:type="dxa" w:w="2304"/>
            <w:vAlign w:val="center"/>
          </w:tcPr>
          <w:p>
            <w:r/>
            <w:r>
              <w:rPr>
                <w:b w:val="0"/>
                <w:sz w:val="16"/>
              </w:rPr>
              <w:t>Normas/temas correlatos</w:t>
            </w:r>
          </w:p>
        </w:tc>
        <w:tc>
          <w:tcPr>
            <w:tcW w:type="dxa" w:w="8352"/>
            <w:vAlign w:val="center"/>
          </w:tcPr>
          <w:p>
            <w:r/>
            <w:r>
              <w:rPr>
                <w:b w:val="0"/>
                <w:sz w:val="16"/>
              </w:rPr>
              <w:t>NR-11; NR-12 como correlata; NR-01 conforme gestão de riscos</w:t>
            </w:r>
          </w:p>
        </w:tc>
      </w:tr>
      <w:tr>
        <w:tc>
          <w:tcPr>
            <w:tcW w:type="dxa" w:w="2304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Evidências/EVID</w:t>
            </w:r>
          </w:p>
        </w:tc>
        <w:tc>
          <w:tcPr>
            <w:tcW w:type="dxa" w:w="8352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EVID-MOV-001, EVID-MOV-002, EVID-MOV-003, EVID-MOV-004</w:t>
            </w:r>
          </w:p>
        </w:tc>
      </w:tr>
      <w:tr>
        <w:tc>
          <w:tcPr>
            <w:tcW w:type="dxa" w:w="2304"/>
            <w:vAlign w:val="center"/>
          </w:tcPr>
          <w:p>
            <w:r/>
            <w:r>
              <w:rPr>
                <w:b w:val="0"/>
                <w:sz w:val="16"/>
              </w:rPr>
              <w:t>Próximo documento</w:t>
            </w:r>
          </w:p>
        </w:tc>
        <w:tc>
          <w:tcPr>
            <w:tcW w:type="dxa" w:w="8352"/>
            <w:vAlign w:val="center"/>
          </w:tcPr>
          <w:p>
            <w:r/>
            <w:r>
              <w:rPr>
                <w:b w:val="0"/>
                <w:sz w:val="16"/>
              </w:rPr>
              <w:t>Plano de complementação documental e validação de gate</w:t>
            </w:r>
          </w:p>
        </w:tc>
      </w:tr>
      <w:tr>
        <w:tc>
          <w:tcPr>
            <w:tcW w:type="dxa" w:w="2304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Evolução estimada</w:t>
            </w:r>
          </w:p>
        </w:tc>
        <w:tc>
          <w:tcPr>
            <w:tcW w:type="dxa" w:w="8352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80% metodológico; mérito bloqueado</w:t>
            </w:r>
          </w:p>
        </w:tc>
      </w:tr>
      <w:tr>
        <w:tc>
          <w:tcPr>
            <w:tcW w:type="dxa" w:w="2304"/>
            <w:vAlign w:val="center"/>
          </w:tcPr>
          <w:p>
            <w:r/>
            <w:r>
              <w:rPr>
                <w:b w:val="0"/>
                <w:sz w:val="16"/>
              </w:rPr>
              <w:t>Fontes de referência</w:t>
            </w:r>
          </w:p>
        </w:tc>
        <w:tc>
          <w:tcPr>
            <w:tcW w:type="dxa" w:w="8352"/>
            <w:vAlign w:val="center"/>
          </w:tcPr>
          <w:p>
            <w:r>
              <w:t>Normas vigentes e fontes técnicas aplicáveis</w:t>
            </w:r>
            <w:r>
              <w:rPr>
                <w:b w:val="0"/>
                <w:sz w:val="16"/>
              </w:rPr>
            </w:r>
          </w:p>
        </w:tc>
      </w:tr>
      <w:tr>
        <w:tc>
          <w:tcPr>
            <w:tcW w:type="dxa" w:w="2304"/>
            <w:vAlign w:val="center"/>
            <w:shd w:fill="F4F7F9"/>
          </w:tcPr>
          <w:p>
            <w:r>
              <w:t>Data da revisão documental</w:t>
            </w:r>
            <w:r>
              <w:rPr>
                <w:b w:val="0"/>
                <w:sz w:val="16"/>
              </w:rPr>
            </w:r>
          </w:p>
        </w:tc>
        <w:tc>
          <w:tcPr>
            <w:tcW w:type="dxa" w:w="8352"/>
            <w:vAlign w:val="center"/>
            <w:shd w:fill="F4F7F9"/>
          </w:tcPr>
          <w:p>
            <w:r>
              <w:t>05/08/2026</w:t>
            </w:r>
            <w:r>
              <w:rPr>
                <w:b w:val="0"/>
                <w:sz w:val="16"/>
              </w:rPr>
            </w:r>
          </w:p>
        </w:tc>
      </w:tr>
    </w:tbl>
    <w:p/>
    <w:p>
      <w:pPr>
        <w:pStyle w:val="KMGSection"/>
      </w:pPr>
      <w:r>
        <w:t>B. CONTROLE EVID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710"/>
        <w:gridCol w:w="1710"/>
        <w:gridCol w:w="1710"/>
        <w:gridCol w:w="1710"/>
        <w:gridCol w:w="1710"/>
        <w:gridCol w:w="1710"/>
      </w:tblGrid>
      <w:tr>
        <w:tc>
          <w:tcPr>
            <w:tcW w:type="dxa" w:w="1152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Código</w:t>
            </w:r>
          </w:p>
        </w:tc>
        <w:tc>
          <w:tcPr>
            <w:tcW w:type="dxa" w:w="2880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Descrição</w:t>
            </w:r>
          </w:p>
        </w:tc>
        <w:tc>
          <w:tcPr>
            <w:tcW w:type="dxa" w:w="1296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Situação</w:t>
            </w:r>
          </w:p>
        </w:tc>
        <w:tc>
          <w:tcPr>
            <w:tcW w:type="dxa" w:w="1440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Confiabilidade</w:t>
            </w:r>
          </w:p>
        </w:tc>
        <w:tc>
          <w:tcPr>
            <w:tcW w:type="dxa" w:w="2448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Uso técnico</w:t>
            </w:r>
          </w:p>
        </w:tc>
        <w:tc>
          <w:tcPr>
            <w:tcW w:type="dxa" w:w="2304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Próxima ação</w:t>
            </w:r>
          </w:p>
        </w:tc>
      </w:tr>
      <w:tr>
        <w:tc>
          <w:tcPr>
            <w:tcW w:type="dxa" w:w="1152"/>
            <w:vAlign w:val="center"/>
          </w:tcPr>
          <w:p>
            <w:r/>
            <w:r>
              <w:rPr>
                <w:b w:val="0"/>
                <w:sz w:val="16"/>
              </w:rPr>
              <w:t>EVID-MOV-001</w:t>
            </w:r>
          </w:p>
        </w:tc>
        <w:tc>
          <w:tcPr>
            <w:tcW w:type="dxa" w:w="2880"/>
            <w:vAlign w:val="center"/>
          </w:tcPr>
          <w:p>
            <w:r/>
            <w:r>
              <w:rPr>
                <w:b w:val="0"/>
                <w:sz w:val="16"/>
              </w:rPr>
              <w:t>Ordem de movimentação e destino</w:t>
            </w:r>
          </w:p>
        </w:tc>
        <w:tc>
          <w:tcPr>
            <w:tcW w:type="dxa" w:w="1296"/>
            <w:vAlign w:val="center"/>
          </w:tcPr>
          <w:p>
            <w:r/>
            <w:r>
              <w:rPr>
                <w:b w:val="0"/>
                <w:sz w:val="16"/>
              </w:rPr>
              <w:t>Recebido</w:t>
            </w:r>
          </w:p>
        </w:tc>
        <w:tc>
          <w:tcPr>
            <w:tcW w:type="dxa" w:w="1440"/>
            <w:vAlign w:val="center"/>
          </w:tcPr>
          <w:p>
            <w:r/>
            <w:r>
              <w:rPr>
                <w:b w:val="0"/>
                <w:sz w:val="16"/>
              </w:rPr>
              <w:t>Alta</w:t>
            </w:r>
          </w:p>
        </w:tc>
        <w:tc>
          <w:tcPr>
            <w:tcW w:type="dxa" w:w="2448"/>
            <w:vAlign w:val="center"/>
          </w:tcPr>
          <w:p>
            <w:r/>
            <w:r>
              <w:rPr>
                <w:b w:val="0"/>
                <w:sz w:val="16"/>
              </w:rPr>
              <w:t>delimitar operação</w:t>
            </w:r>
          </w:p>
        </w:tc>
        <w:tc>
          <w:tcPr>
            <w:tcW w:type="dxa" w:w="2304"/>
            <w:vAlign w:val="center"/>
          </w:tcPr>
          <w:p>
            <w:r/>
            <w:r>
              <w:rPr>
                <w:b w:val="0"/>
                <w:sz w:val="16"/>
              </w:rPr>
              <w:t>preservar original</w:t>
            </w:r>
          </w:p>
        </w:tc>
      </w:tr>
      <w:tr>
        <w:tc>
          <w:tcPr>
            <w:tcW w:type="dxa" w:w="1152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EVID-MOV-002</w:t>
            </w:r>
          </w:p>
        </w:tc>
        <w:tc>
          <w:tcPr>
            <w:tcW w:type="dxa" w:w="2880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Checklist pré-uso da empilhadeira</w:t>
            </w:r>
          </w:p>
        </w:tc>
        <w:tc>
          <w:tcPr>
            <w:tcW w:type="dxa" w:w="1296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Recebido</w:t>
            </w:r>
          </w:p>
        </w:tc>
        <w:tc>
          <w:tcPr>
            <w:tcW w:type="dxa" w:w="1440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Alta</w:t>
            </w:r>
          </w:p>
        </w:tc>
        <w:tc>
          <w:tcPr>
            <w:tcW w:type="dxa" w:w="2448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condição declarada do equipamento</w:t>
            </w:r>
          </w:p>
        </w:tc>
        <w:tc>
          <w:tcPr>
            <w:tcW w:type="dxa" w:w="2304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cruzar com manutenção</w:t>
            </w:r>
          </w:p>
        </w:tc>
      </w:tr>
      <w:tr>
        <w:tc>
          <w:tcPr>
            <w:tcW w:type="dxa" w:w="1152"/>
            <w:vAlign w:val="center"/>
          </w:tcPr>
          <w:p>
            <w:r/>
            <w:r>
              <w:rPr>
                <w:b w:val="0"/>
                <w:sz w:val="16"/>
              </w:rPr>
              <w:t>EVID-MOV-003</w:t>
            </w:r>
          </w:p>
        </w:tc>
        <w:tc>
          <w:tcPr>
            <w:tcW w:type="dxa" w:w="2880"/>
            <w:vAlign w:val="center"/>
          </w:tcPr>
          <w:p>
            <w:r/>
            <w:r>
              <w:rPr>
                <w:b w:val="0"/>
                <w:sz w:val="16"/>
              </w:rPr>
              <w:t>Registro fotográfico fictício</w:t>
            </w:r>
          </w:p>
        </w:tc>
        <w:tc>
          <w:tcPr>
            <w:tcW w:type="dxa" w:w="1296"/>
            <w:vAlign w:val="center"/>
          </w:tcPr>
          <w:p>
            <w:r/>
            <w:r>
              <w:rPr>
                <w:b w:val="0"/>
                <w:sz w:val="16"/>
              </w:rPr>
              <w:t>Recebido</w:t>
            </w:r>
          </w:p>
        </w:tc>
        <w:tc>
          <w:tcPr>
            <w:tcW w:type="dxa" w:w="1440"/>
            <w:vAlign w:val="center"/>
          </w:tcPr>
          <w:p>
            <w:r/>
            <w:r>
              <w:rPr>
                <w:b w:val="0"/>
                <w:sz w:val="16"/>
              </w:rPr>
              <w:t>Média</w:t>
            </w:r>
          </w:p>
        </w:tc>
        <w:tc>
          <w:tcPr>
            <w:tcW w:type="dxa" w:w="2448"/>
            <w:vAlign w:val="center"/>
          </w:tcPr>
          <w:p>
            <w:r/>
            <w:r>
              <w:rPr>
                <w:b w:val="0"/>
                <w:sz w:val="16"/>
              </w:rPr>
              <w:t>posição e evidência material</w:t>
            </w:r>
          </w:p>
        </w:tc>
        <w:tc>
          <w:tcPr>
            <w:tcW w:type="dxa" w:w="2304"/>
            <w:vAlign w:val="center"/>
          </w:tcPr>
          <w:p>
            <w:r/>
            <w:r>
              <w:rPr>
                <w:b w:val="0"/>
                <w:sz w:val="16"/>
              </w:rPr>
              <w:t>confirmar temporalidade</w:t>
            </w:r>
          </w:p>
        </w:tc>
      </w:tr>
      <w:tr>
        <w:tc>
          <w:tcPr>
            <w:tcW w:type="dxa" w:w="1152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EVID-MOV-004</w:t>
            </w:r>
          </w:p>
        </w:tc>
        <w:tc>
          <w:tcPr>
            <w:tcW w:type="dxa" w:w="2880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Layout e largura do corredor</w:t>
            </w:r>
          </w:p>
        </w:tc>
        <w:tc>
          <w:tcPr>
            <w:tcW w:type="dxa" w:w="1296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Parcial</w:t>
            </w:r>
          </w:p>
        </w:tc>
        <w:tc>
          <w:tcPr>
            <w:tcW w:type="dxa" w:w="1440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Média</w:t>
            </w:r>
          </w:p>
        </w:tc>
        <w:tc>
          <w:tcPr>
            <w:tcW w:type="dxa" w:w="2448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geometria e rota</w:t>
            </w:r>
          </w:p>
        </w:tc>
        <w:tc>
          <w:tcPr>
            <w:tcW w:type="dxa" w:w="2304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obter versão vigente</w:t>
            </w:r>
          </w:p>
        </w:tc>
      </w:tr>
    </w:tbl>
    <w:p/>
    <w:p>
      <w:pPr>
        <w:pStyle w:val="KMGSection"/>
      </w:pPr>
      <w:r>
        <w:t>C. MATRIZ FATO -&gt; EVIDÊNCIA -&gt; ANÁLISE TÉCNICA -&gt; CONCLUSÃO LIMITADA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65"/>
        <w:gridCol w:w="2565"/>
        <w:gridCol w:w="2565"/>
        <w:gridCol w:w="2565"/>
      </w:tblGrid>
      <w:tr>
        <w:tc>
          <w:tcPr>
            <w:tcW w:type="dxa" w:w="2592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Fato fictício</w:t>
            </w:r>
          </w:p>
        </w:tc>
        <w:tc>
          <w:tcPr>
            <w:tcW w:type="dxa" w:w="2592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Evidência associada</w:t>
            </w:r>
          </w:p>
        </w:tc>
        <w:tc>
          <w:tcPr>
            <w:tcW w:type="dxa" w:w="2880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Análise técnica possível</w:t>
            </w:r>
          </w:p>
        </w:tc>
        <w:tc>
          <w:tcPr>
            <w:tcW w:type="dxa" w:w="2880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Conclusão limitada</w:t>
            </w:r>
          </w:p>
        </w:tc>
      </w:tr>
      <w:tr>
        <w:tc>
          <w:tcPr>
            <w:tcW w:type="dxa" w:w="2592"/>
            <w:vAlign w:val="center"/>
          </w:tcPr>
          <w:p>
            <w:r/>
            <w:r>
              <w:rPr>
                <w:b w:val="0"/>
                <w:sz w:val="16"/>
              </w:rPr>
              <w:t>A carga tocou a proteção lateral.</w:t>
            </w:r>
          </w:p>
        </w:tc>
        <w:tc>
          <w:tcPr>
            <w:tcW w:type="dxa" w:w="2592"/>
            <w:vAlign w:val="center"/>
          </w:tcPr>
          <w:p>
            <w:r/>
            <w:r>
              <w:rPr>
                <w:b w:val="0"/>
                <w:sz w:val="16"/>
              </w:rPr>
              <w:t>Fotos, relatos e registro da parada.</w:t>
            </w:r>
          </w:p>
        </w:tc>
        <w:tc>
          <w:tcPr>
            <w:tcW w:type="dxa" w:w="2880"/>
            <w:vAlign w:val="center"/>
          </w:tcPr>
          <w:p>
            <w:r/>
            <w:r>
              <w:rPr>
                <w:b w:val="0"/>
                <w:sz w:val="16"/>
              </w:rPr>
              <w:t>O contato pode ser documentado; a dinâmica completa não está preservada.</w:t>
            </w:r>
          </w:p>
        </w:tc>
        <w:tc>
          <w:tcPr>
            <w:tcW w:type="dxa" w:w="2880"/>
            <w:vAlign w:val="center"/>
          </w:tcPr>
          <w:p>
            <w:r/>
            <w:r>
              <w:rPr>
                <w:b w:val="0"/>
                <w:sz w:val="16"/>
              </w:rPr>
              <w:t>Confirmar ocorrência, sem concluir causa ou responsabilidade.</w:t>
            </w:r>
          </w:p>
        </w:tc>
      </w:tr>
      <w:tr>
        <w:tc>
          <w:tcPr>
            <w:tcW w:type="dxa" w:w="2592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Há versões divergentes sobre a largura útil.</w:t>
            </w:r>
          </w:p>
        </w:tc>
        <w:tc>
          <w:tcPr>
            <w:tcW w:type="dxa" w:w="2592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Layouts e relatos de períodos distintos.</w:t>
            </w:r>
          </w:p>
        </w:tc>
        <w:tc>
          <w:tcPr>
            <w:tcW w:type="dxa" w:w="2880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As versões precisam ser vinculadas à data e à configuração.</w:t>
            </w:r>
          </w:p>
        </w:tc>
        <w:tc>
          <w:tcPr>
            <w:tcW w:type="dxa" w:w="2880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Base insuficiente para afirmar inadequação dimensional.</w:t>
            </w:r>
          </w:p>
        </w:tc>
      </w:tr>
    </w:tbl>
    <w:p/>
    <w:p>
      <w:pPr>
        <w:pStyle w:val="KMGSection"/>
      </w:pPr>
      <w:r>
        <w:t>D. VALIDAÇÃO NORMATIVA DIRIGIDA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65"/>
        <w:gridCol w:w="2565"/>
        <w:gridCol w:w="2565"/>
        <w:gridCol w:w="2565"/>
      </w:tblGrid>
      <w:tr>
        <w:tc>
          <w:tcPr>
            <w:tcW w:type="dxa" w:w="1584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NR/Tema</w:t>
            </w:r>
          </w:p>
        </w:tc>
        <w:tc>
          <w:tcPr>
            <w:tcW w:type="dxa" w:w="2448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Status do controle</w:t>
            </w:r>
          </w:p>
        </w:tc>
        <w:tc>
          <w:tcPr>
            <w:tcW w:type="dxa" w:w="3312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Impacto no caso</w:t>
            </w:r>
          </w:p>
        </w:tc>
        <w:tc>
          <w:tcPr>
            <w:tcW w:type="dxa" w:w="3600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Ação antes do uso real</w:t>
            </w:r>
          </w:p>
        </w:tc>
      </w:tr>
      <w:tr>
        <w:tc>
          <w:tcPr>
            <w:tcW w:type="dxa" w:w="1584"/>
            <w:vAlign w:val="center"/>
          </w:tcPr>
          <w:p>
            <w:r/>
            <w:r>
              <w:rPr>
                <w:b w:val="0"/>
                <w:sz w:val="16"/>
              </w:rPr>
              <w:t>NR-11</w:t>
            </w:r>
          </w:p>
        </w:tc>
        <w:tc>
          <w:tcPr>
            <w:tcW w:type="dxa" w:w="2448"/>
            <w:vAlign w:val="center"/>
          </w:tcPr>
          <w:p>
            <w:r/>
            <w:r>
              <w:rPr>
                <w:b w:val="0"/>
                <w:sz w:val="16"/>
              </w:rPr>
              <w:t>Conferência externa recomendada</w:t>
            </w:r>
          </w:p>
        </w:tc>
        <w:tc>
          <w:tcPr>
            <w:tcW w:type="dxa" w:w="3312"/>
            <w:vAlign w:val="center"/>
          </w:tcPr>
          <w:p>
            <w:r/>
            <w:r>
              <w:rPr>
                <w:b w:val="0"/>
                <w:sz w:val="16"/>
              </w:rPr>
              <w:t>movimentação, armazenamento e operação</w:t>
            </w:r>
          </w:p>
        </w:tc>
        <w:tc>
          <w:tcPr>
            <w:tcW w:type="dxa" w:w="3600"/>
            <w:vAlign w:val="center"/>
          </w:tcPr>
          <w:p>
            <w:r/>
            <w:r>
              <w:rPr>
                <w:b w:val="0"/>
                <w:sz w:val="16"/>
              </w:rPr>
              <w:t>confirmar texto vigente no MTE</w:t>
            </w:r>
          </w:p>
        </w:tc>
      </w:tr>
      <w:tr>
        <w:tc>
          <w:tcPr>
            <w:tcW w:type="dxa" w:w="1584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NR-12</w:t>
            </w:r>
          </w:p>
        </w:tc>
        <w:tc>
          <w:tcPr>
            <w:tcW w:type="dxa" w:w="2448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Correlata, conforme equipamento e interfaces</w:t>
            </w:r>
          </w:p>
        </w:tc>
        <w:tc>
          <w:tcPr>
            <w:tcW w:type="dxa" w:w="3312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segurança da empilhadeira/equipamentos</w:t>
            </w:r>
          </w:p>
        </w:tc>
        <w:tc>
          <w:tcPr>
            <w:tcW w:type="dxa" w:w="3600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não usar isoladamente para conclusão</w:t>
            </w:r>
          </w:p>
        </w:tc>
      </w:tr>
      <w:tr>
        <w:tc>
          <w:tcPr>
            <w:tcW w:type="dxa" w:w="1584"/>
            <w:vAlign w:val="center"/>
          </w:tcPr>
          <w:p>
            <w:r/>
            <w:r>
              <w:rPr>
                <w:b w:val="0"/>
                <w:sz w:val="16"/>
              </w:rPr>
              <w:t>NR-01</w:t>
            </w:r>
          </w:p>
        </w:tc>
        <w:tc>
          <w:tcPr>
            <w:tcW w:type="dxa" w:w="2448"/>
            <w:vAlign w:val="center"/>
          </w:tcPr>
          <w:p>
            <w:r/>
            <w:r>
              <w:rPr>
                <w:b w:val="0"/>
                <w:sz w:val="16"/>
              </w:rPr>
              <w:t>Aplicável conforme gestão de riscos</w:t>
            </w:r>
          </w:p>
        </w:tc>
        <w:tc>
          <w:tcPr>
            <w:tcW w:type="dxa" w:w="3312"/>
            <w:vAlign w:val="center"/>
          </w:tcPr>
          <w:p>
            <w:r/>
            <w:r>
              <w:rPr>
                <w:b w:val="0"/>
                <w:sz w:val="16"/>
              </w:rPr>
              <w:t>integração ao GRO/PGR</w:t>
            </w:r>
          </w:p>
        </w:tc>
        <w:tc>
          <w:tcPr>
            <w:tcW w:type="dxa" w:w="3600"/>
            <w:vAlign w:val="center"/>
          </w:tcPr>
          <w:p>
            <w:r/>
            <w:r>
              <w:rPr>
                <w:b w:val="0"/>
                <w:sz w:val="16"/>
              </w:rPr>
              <w:t>verificar contexto real</w:t>
            </w:r>
          </w:p>
        </w:tc>
      </w:tr>
    </w:tbl>
    <w:p/>
    <w:p>
      <w:pPr>
        <w:pStyle w:val="KMGNote"/>
      </w:pPr>
      <w:r>
        <w:t>Ressalva normativa: verificação interna realizada com base na Fontes de referência e no controle normativo indicado. Antes de protocolo, treinamento, consultoria, conclusão definitiva ou aplicação em caso real, confirmar o texto vigente no portal oficial do Ministério do Trabalho e Emprego e nas demais fontes técnicas aplicáveis.</w:t>
      </w:r>
    </w:p>
    <w:p>
      <w:pPr>
        <w:pStyle w:val="KMGSection"/>
      </w:pPr>
      <w:r>
        <w:t>E. LGPD, SIGILO E BLOQUEIO DE MÉRITO</w:t>
      </w:r>
    </w:p>
    <w:p>
      <w:pPr>
        <w:pStyle w:val="ListBullet"/>
      </w:pPr>
      <w:r>
        <w:t>Tratar apenas dados necessários à finalidade técnica; anonimizar exemplos e restringir dados pessoais, de saúde, comerciais ou estratégicos.</w:t>
      </w:r>
    </w:p>
    <w:p>
      <w:pPr>
        <w:pStyle w:val="ListBullet"/>
      </w:pPr>
      <w:r>
        <w:t>Preservar originais, registrar cópias de trabalho, versão, origem, data, responsável e restrição de acesso.</w:t>
      </w:r>
    </w:p>
    <w:p>
      <w:pPr>
        <w:pStyle w:val="ListBullet"/>
      </w:pPr>
      <w:r>
        <w:t>Não preencher lacunas por suposição, estimativa ou cálculo não verificado.</w:t>
      </w:r>
    </w:p>
    <w:p>
      <w:pPr>
        <w:pStyle w:val="ListBullet"/>
      </w:pPr>
      <w:r>
        <w:t>Não concluir causa, culpa, falha operacional, conformidade do corredor ou responsabilidade sem medições, preservação de cena, documentos vigentes e análise do caso real.</w:t>
      </w:r>
    </w:p>
    <w:p>
      <w:pPr>
        <w:pStyle w:val="ListBullet"/>
      </w:pPr>
      <w:r>
        <w:t>O gate deve ser classificado como APROVADO, APROVADO COM RESSALVAS, REVISAR ou REPROVADO e precisa de validação formal do responsável técnico.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0262"/>
      </w:tblGrid>
      <w:tr>
        <w:tc>
          <w:tcPr>
            <w:tcW w:type="dxa" w:w="10262"/>
            <w:shd w:fill="EAF5ED"/>
            <w:vAlign w:val="center"/>
          </w:tcPr>
          <w:p>
            <w:r>
              <w:t>As ilustrações são didáticas, sem escala e devem ser confrontadas com as evidências do caso real.</w:t>
            </w:r>
          </w:p>
        </w:tc>
      </w:tr>
    </w:tbl>
    <w:p/>
    <w:sectPr>
      <w:headerReference w:type="default" r:id="rId9"/>
      <w:footerReference w:type="default" r:id="rId10"/>
      <w:headerReference w:type="first" r:id="rId12"/>
      <w:footerReference w:type="first" r:id="rId13"/>
      <w:headerReference w:type="even" r:id="rId14"/>
      <w:footerReference w:type="even" r:id="rId15"/>
      <w:pgSz w:w="11906" w:h="16838"/>
      <w:pgMar w:top="709" w:right="822" w:bottom="680" w:left="82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sz w:val="14"/>
      </w:rPr>
      <w:t>KIT-001 v2.6 | MOV-001 | Emissão 05/08/2026 | Material de apoio técnico</w:t>
    </w: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sz w:val="14"/>
      </w:rPr>
      <w:t>KIT-001 v2.6 | MOV-001 | Emissão 05/08/2026 | Material de apoio técnico</w:t>
    </w:r>
  </w:p>
</w:ftr>
</file>

<file path=word/footer3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sz w:val="14"/>
      </w:rPr>
      <w:t>KIT-001 v2.6 | MOV-001 | Emissão 05/08/2026 | Material de apoio técnico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6F7C86"/>
        <w:sz w:val="15"/>
      </w:rPr>
      <w:t>KMG ENGINEERING INTELLIGENCE</w:t>
    </w: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3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9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KMGTitle">
    <w:name w:val="KMG Title"/>
    <w:rPr>
      <w:rFonts w:ascii="Arial" w:hAnsi="Arial"/>
      <w:b/>
      <w:color w:val="123456"/>
      <w:sz w:val="44"/>
    </w:rPr>
  </w:style>
  <w:style w:type="paragraph" w:customStyle="1" w:styleId="KMGAppendixTitle">
    <w:name w:val="KMG Appendix Title"/>
    <w:pPr>
      <w:spacing w:before="160" w:after="160"/>
    </w:pPr>
    <w:rPr>
      <w:rFonts w:ascii="Aptos Display" w:hAnsi="Aptos Display"/>
      <w:b/>
      <w:color w:val="173B67"/>
      <w:sz w:val="36"/>
    </w:rPr>
  </w:style>
  <w:style w:type="paragraph" w:customStyle="1" w:styleId="KMGSection">
    <w:name w:val="KMG Section"/>
    <w:pPr>
      <w:spacing w:before="160" w:after="100"/>
    </w:pPr>
    <w:rPr>
      <w:rFonts w:ascii="Aptos Display" w:hAnsi="Aptos Display"/>
      <w:b/>
      <w:color w:val="173B67"/>
      <w:sz w:val="26"/>
    </w:rPr>
  </w:style>
  <w:style w:type="paragraph" w:customStyle="1" w:styleId="KMGNote">
    <w:name w:val="KMG Note"/>
    <w:pPr>
      <w:spacing w:before="60" w:after="120"/>
    </w:pPr>
    <w:rPr>
      <w:rFonts w:ascii="Aptos" w:hAnsi="Aptos"/>
      <w:color w:val="667788"/>
      <w:sz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Relationship Id="rId12" Type="http://schemas.openxmlformats.org/officeDocument/2006/relationships/header" Target="header2.xml"/><Relationship Id="rId13" Type="http://schemas.openxmlformats.org/officeDocument/2006/relationships/footer" Target="footer2.xml"/><Relationship Id="rId14" Type="http://schemas.openxmlformats.org/officeDocument/2006/relationships/header" Target="header3.xml"/><Relationship Id="rId15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MOV-001 Caso Aplicado Movimentacao Materiais v2.6</dc:title>
  <dc:subject>KIT-001 - Preparação Documental e Estruturação Técnica</dc:subject>
  <dc:creator>KMG Engineering Intelligence</dc:creator>
  <cp:keywords>KMG; KIT-001; engenharia; organização documental; rastreabilidade</cp:keywords>
  <dc:description/>
  <cp:lastModifiedBy>KMG Engineering Intelligence</cp:lastModifiedBy>
  <cp:revision>1</cp:revision>
  <dcterms:created xsi:type="dcterms:W3CDTF">2026-08-05T14:52:00Z</dcterms:created>
  <dcterms:modified xsi:type="dcterms:W3CDTF">2026-08-05T13:43:00Z</dcterms:modified>
  <cp:category>Material profissional</cp:category>
  <cp:version>2.6</cp:version>
</cp:coreProperties>
</file>