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KMGEyebrow"/>
      </w:pPr>
      <w:r>
        <w:t>KMG ENGINEERING INTELLIGENCE • CASO FICTÍCIO E SISTEMA PROFISSIONAL</w:t>
      </w:r>
    </w:p>
    <w:p>
      <w:pPr>
        <w:pStyle w:val="Title"/>
      </w:pPr>
      <w:r>
        <w:t>CASO 03 — PERICULOSIDADE: GLP EM EMPILHADEIRAS</w:t>
      </w:r>
    </w:p>
    <w:p>
      <w:r>
        <w:rPr>
          <w:color w:val="17365D"/>
          <w:sz w:val="26"/>
        </w:rPr>
        <w:t>Organização documental da troca, armazenamento e movimentação de cilindros em ambiente industrial</w:t>
      </w:r>
    </w:p>
    <w:tbl>
      <w:tblPr>
        <w:tblW w:type="auto" w:w="0"/>
        <w:jc w:val="center"/>
        <w:tblLook w:firstColumn="1" w:firstRow="1" w:lastColumn="0" w:lastRow="0" w:noHBand="0" w:noVBand="1" w:val="04A0"/>
      </w:tblPr>
      <w:tblGrid>
        <w:gridCol w:w="10570"/>
      </w:tblGrid>
      <w:tr>
        <w:tc>
          <w:tcPr>
            <w:tcW w:type="dxa" w:w="10570"/>
            <w:shd w:fill="C58A00"/>
            <w:vAlign w:val="center"/>
            <w:tcMar>
              <w:top w:w="130" w:type="dxa"/>
              <w:start w:w="150" w:type="dxa"/>
              <w:bottom w:w="130" w:type="dxa"/>
              <w:end w:w="15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20"/>
              </w:rPr>
              <w:t>CASO INTEGRALMENTE FICTÍCIO • FINALIDADE EDUCACIONAL • NÃO CARACTERIZA PERICULOSIDADE</w:t>
            </w:r>
          </w:p>
        </w:tc>
      </w:tr>
    </w:tbl>
    <w:p>
      <w:pPr>
        <w:pStyle w:val="KMGQuote"/>
      </w:pPr>
      <w:r>
        <w:t>Este caso demonstra como reunir e relacionar documentos sobre uma atividade com inflamáveis. O objetivo é verificar se a base permite compreender pessoas, tarefas, áreas, quantidades, períodos e controles. Não se determina adicional, habitualidade, intermitência, área de risco ou enquadramento jurídico.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6537960" cy="3677602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LU-CFP-001_Abrigo_GLP_3D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37960" cy="367760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1"/>
      </w:pPr>
      <w:r>
        <w:t>1. Identificação e pergunta documental</w:t>
      </w:r>
    </w:p>
    <w:tbl>
      <w:tblPr>
        <w:tblStyle w:val="TableGrid"/>
        <w:tblW w:type="auto" w:w="0"/>
        <w:jc w:val="center"/>
        <w:tblLayout w:type="autofit"/>
        <w:tblLook w:firstColumn="1" w:firstRow="1" w:lastColumn="0" w:lastRow="0" w:noHBand="0" w:noVBand="1" w:val="04A0"/>
      </w:tblPr>
      <w:tblGrid>
        <w:gridCol w:w="5285"/>
        <w:gridCol w:w="5285"/>
      </w:tblGrid>
      <w:tr>
        <w:tc>
          <w:tcPr>
            <w:tcW w:type="dxa" w:w="5285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CAMPO</w:t>
            </w:r>
          </w:p>
        </w:tc>
        <w:tc>
          <w:tcPr>
            <w:tcW w:type="dxa" w:w="5285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DEFINIÇÃO FICTÍCIA</w:t>
            </w:r>
          </w:p>
        </w:tc>
      </w:tr>
      <w:tr>
        <w:tc>
          <w:tcPr>
            <w:tcW w:type="dxa" w:w="5285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5"/>
              </w:rPr>
              <w:t>Empresa</w:t>
            </w:r>
          </w:p>
        </w:tc>
        <w:tc>
          <w:tcPr>
            <w:tcW w:type="dxa" w:w="5285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5"/>
              </w:rPr>
              <w:t>Distribuidora Industrial Pontal Ltda. — denominação fictícia.</w:t>
            </w:r>
          </w:p>
        </w:tc>
      </w:tr>
      <w:tr>
        <w:tc>
          <w:tcPr>
            <w:tcW w:type="dxa" w:w="5285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5"/>
              </w:rPr>
              <w:t>Setor</w:t>
            </w:r>
          </w:p>
        </w:tc>
        <w:tc>
          <w:tcPr>
            <w:tcW w:type="dxa" w:w="5285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5"/>
              </w:rPr>
              <w:t>Logística interna e abastecimento de empilhadeiras.</w:t>
            </w:r>
          </w:p>
        </w:tc>
      </w:tr>
      <w:tr>
        <w:tc>
          <w:tcPr>
            <w:tcW w:type="dxa" w:w="5285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5"/>
              </w:rPr>
              <w:t>Equipamentos</w:t>
            </w:r>
          </w:p>
        </w:tc>
        <w:tc>
          <w:tcPr>
            <w:tcW w:type="dxa" w:w="5285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5"/>
              </w:rPr>
              <w:t>Seis empilhadeiras a GLP, identificadas EMP-01 a EMP-06.</w:t>
            </w:r>
          </w:p>
        </w:tc>
      </w:tr>
      <w:tr>
        <w:tc>
          <w:tcPr>
            <w:tcW w:type="dxa" w:w="5285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5"/>
              </w:rPr>
              <w:t>Pessoas</w:t>
            </w:r>
          </w:p>
        </w:tc>
        <w:tc>
          <w:tcPr>
            <w:tcW w:type="dxa" w:w="5285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5"/>
              </w:rPr>
              <w:t>Operadores, líder de logística, almoxarife, manutenção, prestador e SST.</w:t>
            </w:r>
          </w:p>
        </w:tc>
      </w:tr>
      <w:tr>
        <w:tc>
          <w:tcPr>
            <w:tcW w:type="dxa" w:w="5285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5"/>
              </w:rPr>
              <w:t>Período</w:t>
            </w:r>
          </w:p>
        </w:tc>
        <w:tc>
          <w:tcPr>
            <w:tcW w:type="dxa" w:w="5285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5"/>
              </w:rPr>
              <w:t>Janeiro de 2025 a junho de 2026.</w:t>
            </w:r>
          </w:p>
        </w:tc>
      </w:tr>
      <w:tr>
        <w:tc>
          <w:tcPr>
            <w:tcW w:type="dxa" w:w="5285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5"/>
              </w:rPr>
              <w:t>Mudança</w:t>
            </w:r>
          </w:p>
        </w:tc>
        <w:tc>
          <w:tcPr>
            <w:tcW w:type="dxa" w:w="5285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5"/>
              </w:rPr>
              <w:t>Transferência do abrigo e centralização da troca em outubro de 2025.</w:t>
            </w:r>
          </w:p>
        </w:tc>
      </w:tr>
      <w:tr>
        <w:tc>
          <w:tcPr>
            <w:tcW w:type="dxa" w:w="5285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5"/>
              </w:rPr>
              <w:t>Pergunta</w:t>
            </w:r>
          </w:p>
        </w:tc>
        <w:tc>
          <w:tcPr>
            <w:tcW w:type="dxa" w:w="5285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5"/>
              </w:rPr>
              <w:t>A documentação permite compreender quem realizava cada atividade, onde, com que frequência, em qual período e sob quais controles?</w:t>
            </w:r>
          </w:p>
        </w:tc>
      </w:tr>
    </w:tbl>
    <w:p>
      <w:pPr>
        <w:pStyle w:val="Heading1"/>
      </w:pPr>
      <w:r>
        <w:t>2. Narrativa resumida</w:t>
      </w:r>
    </w:p>
    <w:p>
      <w:r>
        <w:t>No primeiro período, os cilindros eram recebidos em um abrigo próximo ao almoxarifado. A troca ocorria em mais de um ponto do pátio e era registrada de forma irregular. Em outubro de 2025, um novo abrigo foi instalado em área externa, a atividade foi centralizada e um procedimento revisado passou a exigir checklist, autorização e registro por equipamento.</w:t>
      </w:r>
    </w:p>
    <w:p>
      <w:r>
        <w:t>Em março de 2026, durante uma troca, foi percebido odor característico próximo à conexão de um cilindro. A atividade foi interrompida, o cilindro segregado e a manutenção acionada. Não houve incêndio ou lesão. O evento motivou a revisão dos documentos, mas os registros disponíveis apresentam divergências sobre quantidade, frequência, local exato e pessoas que executavam a atividade.</w:t>
      </w:r>
    </w:p>
    <w:p>
      <w:pPr>
        <w:pStyle w:val="Heading1"/>
      </w:pPr>
      <w:r>
        <w:t>3. Limites do exemplo</w:t>
      </w:r>
    </w:p>
    <w:tbl>
      <w:tblPr>
        <w:tblW w:type="auto" w:w="0"/>
        <w:jc w:val="center"/>
        <w:tblLook w:firstColumn="1" w:firstRow="1" w:lastColumn="0" w:lastRow="0" w:noHBand="0" w:noVBand="1" w:val="04A0"/>
      </w:tblPr>
      <w:tblGrid>
        <w:gridCol w:w="5285"/>
        <w:gridCol w:w="5285"/>
      </w:tblGrid>
      <w:tr>
        <w:tc>
          <w:tcPr>
            <w:tcW w:type="dxa" w:w="5285"/>
            <w:shd w:fill="F4F8FB"/>
            <w:tcMar>
              <w:top w:w="120" w:type="dxa"/>
              <w:start w:w="130" w:type="dxa"/>
              <w:bottom w:w="120" w:type="dxa"/>
              <w:end w:w="130" w:type="dxa"/>
            </w:tcMar>
          </w:tcPr>
          <w:p>
            <w:r/>
            <w:r>
              <w:rPr>
                <w:rFonts w:ascii="Aptos" w:hAnsi="Aptos"/>
                <w:b/>
                <w:color w:val="17848D"/>
                <w:sz w:val="20"/>
              </w:rPr>
              <w:t>O CASO DEMONSTRA</w:t>
            </w:r>
          </w:p>
          <w:p>
            <w:pPr>
              <w:spacing w:after="0"/>
            </w:pPr>
            <w:r>
              <w:rPr>
                <w:rFonts w:ascii="Aptos" w:hAnsi="Aptos"/>
                <w:color w:val="24384B"/>
                <w:sz w:val="16"/>
              </w:rPr>
              <w:t>Inventário, cronologia, atividades, áreas, quantidades, evidências, pendências e gate documental.</w:t>
            </w:r>
          </w:p>
        </w:tc>
        <w:tc>
          <w:tcPr>
            <w:tcW w:type="dxa" w:w="5285"/>
            <w:shd w:fill="F4F8FB"/>
            <w:tcMar>
              <w:top w:w="120" w:type="dxa"/>
              <w:start w:w="130" w:type="dxa"/>
              <w:bottom w:w="120" w:type="dxa"/>
              <w:end w:w="130" w:type="dxa"/>
            </w:tcMar>
          </w:tcPr>
          <w:p>
            <w:r/>
            <w:r>
              <w:rPr>
                <w:rFonts w:ascii="Aptos" w:hAnsi="Aptos"/>
                <w:b/>
                <w:color w:val="A63C3C"/>
                <w:sz w:val="20"/>
              </w:rPr>
              <w:t>O CASO NÃO CONCLUI</w:t>
            </w:r>
          </w:p>
          <w:p>
            <w:pPr>
              <w:spacing w:after="0"/>
            </w:pPr>
            <w:r>
              <w:rPr>
                <w:rFonts w:ascii="Aptos" w:hAnsi="Aptos"/>
                <w:color w:val="24384B"/>
                <w:sz w:val="16"/>
              </w:rPr>
              <w:t>Periculosidade, adicional, habitualidade, intermitência, área de risco, conformidade ou responsabilidade.</w:t>
            </w:r>
          </w:p>
        </w:tc>
      </w:tr>
      <w:tr>
        <w:tc>
          <w:tcPr>
            <w:tcW w:type="dxa" w:w="5285"/>
            <w:shd w:fill="F4F8FB"/>
            <w:tcMar>
              <w:top w:w="120" w:type="dxa"/>
              <w:start w:w="130" w:type="dxa"/>
              <w:bottom w:w="120" w:type="dxa"/>
              <w:end w:w="130" w:type="dxa"/>
            </w:tcMar>
          </w:tcPr>
          <w:p>
            <w:r/>
            <w:r>
              <w:rPr>
                <w:rFonts w:ascii="Aptos" w:hAnsi="Aptos"/>
                <w:b/>
                <w:color w:val="2F7D32"/>
                <w:sz w:val="20"/>
              </w:rPr>
              <w:t>DECISÃO POSSÍVEL</w:t>
            </w:r>
          </w:p>
          <w:p>
            <w:pPr>
              <w:spacing w:after="0"/>
            </w:pPr>
            <w:r>
              <w:rPr>
                <w:rFonts w:ascii="Aptos" w:hAnsi="Aptos"/>
                <w:color w:val="24384B"/>
                <w:sz w:val="16"/>
              </w:rPr>
              <w:t>Avançar, complementar ou interromper a análise conforme a qualidade da base.</w:t>
            </w:r>
          </w:p>
        </w:tc>
        <w:tc>
          <w:tcPr>
            <w:tcW w:type="dxa" w:w="5285"/>
            <w:shd w:fill="F4F8FB"/>
            <w:tcMar>
              <w:top w:w="120" w:type="dxa"/>
              <w:start w:w="130" w:type="dxa"/>
              <w:bottom w:w="120" w:type="dxa"/>
              <w:end w:w="130" w:type="dxa"/>
            </w:tcMar>
          </w:tcPr>
          <w:p>
            <w:r/>
            <w:r>
              <w:rPr>
                <w:rFonts w:ascii="Aptos" w:hAnsi="Aptos"/>
                <w:b/>
                <w:color w:val="C58A00"/>
                <w:sz w:val="20"/>
              </w:rPr>
              <w:t>REFERÊNCIAS</w:t>
            </w:r>
          </w:p>
          <w:p>
            <w:pPr>
              <w:spacing w:after="0"/>
            </w:pPr>
            <w:r>
              <w:rPr>
                <w:rFonts w:ascii="Aptos" w:hAnsi="Aptos"/>
                <w:color w:val="24384B"/>
                <w:sz w:val="16"/>
              </w:rPr>
              <w:t>NR-16, especialmente o Anexo II, NR-20 e documentos operacionais fictícios.</w:t>
            </w:r>
          </w:p>
        </w:tc>
      </w:tr>
    </w:tbl>
    <w:p>
      <w:r>
        <w:br w:type="page"/>
      </w:r>
    </w:p>
    <w:p>
      <w:pPr>
        <w:pStyle w:val="Heading1"/>
      </w:pPr>
      <w:r>
        <w:t>4. Fluxo da atividade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6537960" cy="3677602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LU-CFP-002_Fluxo_Atividade_GLP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37960" cy="367760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  <w:color w:val="667482"/>
          <w:sz w:val="15"/>
        </w:rPr>
        <w:t>O fluxo documental acompanha recebimento, armazenamento, transporte, troca e devolução.</w:t>
      </w:r>
    </w:p>
    <w:tbl>
      <w:tblPr>
        <w:tblStyle w:val="TableGrid"/>
        <w:tblW w:type="auto" w:w="0"/>
        <w:jc w:val="center"/>
        <w:tblLayout w:type="autofit"/>
        <w:tblLook w:firstColumn="1" w:firstRow="1" w:lastColumn="0" w:lastRow="0" w:noHBand="0" w:noVBand="1" w:val="04A0"/>
      </w:tblPr>
      <w:tblGrid>
        <w:gridCol w:w="2114"/>
        <w:gridCol w:w="2114"/>
        <w:gridCol w:w="2114"/>
        <w:gridCol w:w="2114"/>
        <w:gridCol w:w="2114"/>
      </w:tblGrid>
      <w:tr>
        <w:tc>
          <w:tcPr>
            <w:tcW w:type="dxa" w:w="2114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ETAPA</w:t>
            </w:r>
          </w:p>
        </w:tc>
        <w:tc>
          <w:tcPr>
            <w:tcW w:type="dxa" w:w="2114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PESSOA/FUNÇÃO</w:t>
            </w:r>
          </w:p>
        </w:tc>
        <w:tc>
          <w:tcPr>
            <w:tcW w:type="dxa" w:w="2114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LOCAL</w:t>
            </w:r>
          </w:p>
        </w:tc>
        <w:tc>
          <w:tcPr>
            <w:tcW w:type="dxa" w:w="2114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REGISTRO ESPERADO</w:t>
            </w:r>
          </w:p>
        </w:tc>
        <w:tc>
          <w:tcPr>
            <w:tcW w:type="dxa" w:w="2114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PERGUNTA DE CONTROLE</w:t>
            </w:r>
          </w:p>
        </w:tc>
      </w:tr>
      <w:tr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Recebimento</w:t>
            </w:r>
          </w:p>
        </w:tc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Almoxarife / prestador</w:t>
            </w:r>
          </w:p>
        </w:tc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Portaria e abrigo</w:t>
            </w:r>
          </w:p>
        </w:tc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Nota, quantidade, condição e aceite</w:t>
            </w:r>
          </w:p>
        </w:tc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O que entrou e em qual condição?</w:t>
            </w:r>
          </w:p>
        </w:tc>
      </w:tr>
      <w:tr>
        <w:tc>
          <w:tcPr>
            <w:tcW w:type="dxa" w:w="2114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Armazenamento</w:t>
            </w:r>
          </w:p>
        </w:tc>
        <w:tc>
          <w:tcPr>
            <w:tcW w:type="dxa" w:w="2114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Almoxarife / logística</w:t>
            </w:r>
          </w:p>
        </w:tc>
        <w:tc>
          <w:tcPr>
            <w:tcW w:type="dxa" w:w="2114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Abrigo</w:t>
            </w:r>
          </w:p>
        </w:tc>
        <w:tc>
          <w:tcPr>
            <w:tcW w:type="dxa" w:w="2114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Inventário e inspeção</w:t>
            </w:r>
          </w:p>
        </w:tc>
        <w:tc>
          <w:tcPr>
            <w:tcW w:type="dxa" w:w="2114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Cheios, vazios e segregados estão rastreados?</w:t>
            </w:r>
          </w:p>
        </w:tc>
      </w:tr>
      <w:tr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Transporte interno</w:t>
            </w:r>
          </w:p>
        </w:tc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Operador autorizado</w:t>
            </w:r>
          </w:p>
        </w:tc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Rota definida</w:t>
            </w:r>
          </w:p>
        </w:tc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Movimentação e destino</w:t>
            </w:r>
          </w:p>
        </w:tc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Quem transportou e para onde?</w:t>
            </w:r>
          </w:p>
        </w:tc>
      </w:tr>
      <w:tr>
        <w:tc>
          <w:tcPr>
            <w:tcW w:type="dxa" w:w="2114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Troca</w:t>
            </w:r>
          </w:p>
        </w:tc>
        <w:tc>
          <w:tcPr>
            <w:tcW w:type="dxa" w:w="2114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Operador autorizado</w:t>
            </w:r>
          </w:p>
        </w:tc>
        <w:tc>
          <w:tcPr>
            <w:tcW w:type="dxa" w:w="2114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Ponto de troca</w:t>
            </w:r>
          </w:p>
        </w:tc>
        <w:tc>
          <w:tcPr>
            <w:tcW w:type="dxa" w:w="2114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Checklist e identificação da empilhadeira</w:t>
            </w:r>
          </w:p>
        </w:tc>
        <w:tc>
          <w:tcPr>
            <w:tcW w:type="dxa" w:w="2114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Quando, por quem e em qual equipamento?</w:t>
            </w:r>
          </w:p>
        </w:tc>
      </w:tr>
      <w:tr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Devolução</w:t>
            </w:r>
          </w:p>
        </w:tc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Almoxarife / prestador</w:t>
            </w:r>
          </w:p>
        </w:tc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Abrigo e expedição</w:t>
            </w:r>
          </w:p>
        </w:tc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Saída, desvio e devolução</w:t>
            </w:r>
          </w:p>
        </w:tc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O cilindro retornou ao fluxo correto?</w:t>
            </w:r>
          </w:p>
        </w:tc>
      </w:tr>
    </w:tbl>
    <w:p>
      <w:pPr>
        <w:pStyle w:val="Heading1"/>
      </w:pPr>
      <w:r>
        <w:t>5. Recortes temporais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6537960" cy="3677602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LU-CFP-003_Layout_Antes_Depois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37960" cy="367760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  <w:color w:val="667482"/>
          <w:sz w:val="15"/>
        </w:rPr>
        <w:t>Mudanças de instalação e procedimento devem ser tratadas como períodos distintos.</w:t>
      </w:r>
    </w:p>
    <w:tbl>
      <w:tblPr>
        <w:tblStyle w:val="TableGrid"/>
        <w:tblW w:type="auto" w:w="0"/>
        <w:jc w:val="center"/>
        <w:tblLayout w:type="autofit"/>
        <w:tblLook w:firstColumn="1" w:firstRow="1" w:lastColumn="0" w:lastRow="0" w:noHBand="0" w:noVBand="1" w:val="04A0"/>
      </w:tblPr>
      <w:tblGrid>
        <w:gridCol w:w="2642"/>
        <w:gridCol w:w="2642"/>
        <w:gridCol w:w="2642"/>
        <w:gridCol w:w="2642"/>
      </w:tblGrid>
      <w:tr>
        <w:tc>
          <w:tcPr>
            <w:tcW w:type="dxa" w:w="2642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PERÍODO</w:t>
            </w:r>
          </w:p>
        </w:tc>
        <w:tc>
          <w:tcPr>
            <w:tcW w:type="dxa" w:w="2642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CONFIGURAÇÃO</w:t>
            </w:r>
          </w:p>
        </w:tc>
        <w:tc>
          <w:tcPr>
            <w:tcW w:type="dxa" w:w="2642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ROTINA</w:t>
            </w:r>
          </w:p>
        </w:tc>
        <w:tc>
          <w:tcPr>
            <w:tcW w:type="dxa" w:w="2642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LACUNA PRINCIPAL</w:t>
            </w:r>
          </w:p>
        </w:tc>
      </w:tr>
      <w:tr>
        <w:tc>
          <w:tcPr>
            <w:tcW w:type="dxa" w:w="264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P1 — 01/2025 a 09/2025</w:t>
            </w:r>
          </w:p>
        </w:tc>
        <w:tc>
          <w:tcPr>
            <w:tcW w:type="dxa" w:w="264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Abrigo original junto ao almoxarifado.</w:t>
            </w:r>
          </w:p>
        </w:tc>
        <w:tc>
          <w:tcPr>
            <w:tcW w:type="dxa" w:w="264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Trocas descentralizadas em mais de um ponto.</w:t>
            </w:r>
          </w:p>
        </w:tc>
        <w:tc>
          <w:tcPr>
            <w:tcW w:type="dxa" w:w="264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Registros de frequência e responsáveis incompletos.</w:t>
            </w:r>
          </w:p>
        </w:tc>
      </w:tr>
      <w:tr>
        <w:tc>
          <w:tcPr>
            <w:tcW w:type="dxa" w:w="264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P2 — 10/2025 a 06/2026</w:t>
            </w:r>
          </w:p>
        </w:tc>
        <w:tc>
          <w:tcPr>
            <w:tcW w:type="dxa" w:w="264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Novo abrigo externo e ponto central.</w:t>
            </w:r>
          </w:p>
        </w:tc>
        <w:tc>
          <w:tcPr>
            <w:tcW w:type="dxa" w:w="264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Troca com checklist e autorização formal.</w:t>
            </w:r>
          </w:p>
        </w:tc>
        <w:tc>
          <w:tcPr>
            <w:tcW w:type="dxa" w:w="264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Capacidade real e histórico de inspeções ainda divergentes.</w:t>
            </w:r>
          </w:p>
        </w:tc>
      </w:tr>
    </w:tbl>
    <w:p>
      <w:r>
        <w:br w:type="page"/>
      </w:r>
    </w:p>
    <w:p>
      <w:pPr>
        <w:pStyle w:val="Heading1"/>
      </w:pPr>
      <w:r>
        <w:t>6. Inventário documental fictício</w:t>
      </w:r>
    </w:p>
    <w:tbl>
      <w:tblPr>
        <w:tblStyle w:val="TableGrid"/>
        <w:tblW w:type="auto" w:w="0"/>
        <w:jc w:val="center"/>
        <w:tblLayout w:type="autofit"/>
        <w:tblLook w:firstColumn="1" w:firstRow="1" w:lastColumn="0" w:lastRow="0" w:noHBand="0" w:noVBand="1" w:val="04A0"/>
      </w:tblPr>
      <w:tblGrid>
        <w:gridCol w:w="1762"/>
        <w:gridCol w:w="1762"/>
        <w:gridCol w:w="1762"/>
        <w:gridCol w:w="1762"/>
        <w:gridCol w:w="1762"/>
        <w:gridCol w:w="1762"/>
      </w:tblGrid>
      <w:tr>
        <w:tc>
          <w:tcPr>
            <w:tcW w:type="dxa" w:w="1762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ID</w:t>
            </w:r>
          </w:p>
        </w:tc>
        <w:tc>
          <w:tcPr>
            <w:tcW w:type="dxa" w:w="1762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DOCUMENTO</w:t>
            </w:r>
          </w:p>
        </w:tc>
        <w:tc>
          <w:tcPr>
            <w:tcW w:type="dxa" w:w="1762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STATUS</w:t>
            </w:r>
          </w:p>
        </w:tc>
        <w:tc>
          <w:tcPr>
            <w:tcW w:type="dxa" w:w="1762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RELEVÂNCIA</w:t>
            </w:r>
          </w:p>
        </w:tc>
        <w:tc>
          <w:tcPr>
            <w:tcW w:type="dxa" w:w="1762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CONFIABILIDADE</w:t>
            </w:r>
          </w:p>
        </w:tc>
        <w:tc>
          <w:tcPr>
            <w:tcW w:type="dxa" w:w="1762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NOTA DE CONTROLE</w:t>
            </w:r>
          </w:p>
        </w:tc>
      </w:tr>
      <w:tr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DOC-001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Layouts do abrigo anterior e atual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Recebido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Essencial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Alta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O layout anterior não possui data de aprovação.</w:t>
            </w:r>
          </w:p>
        </w:tc>
      </w:tr>
      <w:tr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DOC-002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Inventário mensal de cilindros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Parcial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Essencial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Média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Faltam fevereiro e março de 2025.</w:t>
            </w:r>
          </w:p>
        </w:tc>
      </w:tr>
      <w:tr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DOC-003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Procedimento de recebimento e armazenamento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Recebido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Essencial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Alta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Revisão aplicável ao P2.</w:t>
            </w:r>
          </w:p>
        </w:tc>
      </w:tr>
      <w:tr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DOC-004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Procedimento de troca de cilindros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Recebido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Essencial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Alta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REV03 emitida após mudança.</w:t>
            </w:r>
          </w:p>
        </w:tc>
      </w:tr>
      <w:tr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DOC-005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Matriz de operadores autorizados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Recebido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Essencial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Média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Dois operadores sem data de autorização.</w:t>
            </w:r>
          </w:p>
        </w:tc>
      </w:tr>
      <w:tr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DOC-006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Treinamentos NR-20 e internos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Recebido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Essencial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Média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Conteúdo e abrangência variam por turma.</w:t>
            </w:r>
          </w:p>
        </w:tc>
      </w:tr>
      <w:tr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DOC-007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PGR e análise de riscos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Recebido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Essencial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Média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O PGR anterior não descreve a rotina descentralizada.</w:t>
            </w:r>
          </w:p>
        </w:tc>
      </w:tr>
      <w:tr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DOC-008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Plano de resposta a emergências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Recebido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Essencial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Alta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Revisão posterior à mudança.</w:t>
            </w:r>
          </w:p>
        </w:tc>
      </w:tr>
      <w:tr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DOC-009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Inspeções do abrigo e cilindros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Parcial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Essencial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Média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Sem registros de dois meses.</w:t>
            </w:r>
          </w:p>
        </w:tc>
      </w:tr>
      <w:tr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DOC-010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Registros de troca por equipamento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Pendente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Essencial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Baixa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Planilha do P1 não localizada.</w:t>
            </w:r>
          </w:p>
        </w:tc>
      </w:tr>
      <w:tr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DOC-011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Ordens de manutenção das empilhadeiras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Recebido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Complementar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Alta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Inclui troca de mangueira da EMP-04.</w:t>
            </w:r>
          </w:p>
        </w:tc>
      </w:tr>
      <w:tr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DOC-012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Notas fiscais e comprovantes de entrega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Recebido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Complementar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Alta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Permitem estimar fluxo, não estoque diário.</w:t>
            </w:r>
          </w:p>
        </w:tc>
      </w:tr>
      <w:tr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DOC-013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Entrevistas de operadores e liderança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Recebido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Complementar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Média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Há divergências de frequência.</w:t>
            </w:r>
          </w:p>
        </w:tc>
      </w:tr>
      <w:tr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DOC-014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Registro do evento de odor/vazamento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Recebido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Essencial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Média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Horário e cilindro identificados; causa não concluída.</w:t>
            </w:r>
          </w:p>
        </w:tc>
      </w:tr>
      <w:tr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DOC-015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Documentos de prevenção e combate a incêndio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Pendente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Contextual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Baixa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Versão atual ainda não anexada.</w:t>
            </w:r>
          </w:p>
        </w:tc>
      </w:tr>
    </w:tbl>
    <w:p>
      <w:r>
        <w:br w:type="page"/>
      </w:r>
    </w:p>
    <w:p>
      <w:pPr>
        <w:pStyle w:val="Heading1"/>
      </w:pPr>
      <w:r>
        <w:t>7. Estrutura de pastas</w:t>
      </w:r>
    </w:p>
    <w:tbl>
      <w:tblPr>
        <w:tblStyle w:val="TableGrid"/>
        <w:tblW w:type="auto" w:w="0"/>
        <w:jc w:val="center"/>
        <w:tblLayout w:type="autofit"/>
        <w:tblLook w:firstColumn="1" w:firstRow="1" w:lastColumn="0" w:lastRow="0" w:noHBand="0" w:noVBand="1" w:val="04A0"/>
      </w:tblPr>
      <w:tblGrid>
        <w:gridCol w:w="5285"/>
        <w:gridCol w:w="5285"/>
      </w:tblGrid>
      <w:tr>
        <w:tc>
          <w:tcPr>
            <w:tcW w:type="dxa" w:w="5285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PASTA</w:t>
            </w:r>
          </w:p>
        </w:tc>
        <w:tc>
          <w:tcPr>
            <w:tcW w:type="dxa" w:w="5285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FINALIDADE</w:t>
            </w:r>
          </w:p>
        </w:tc>
      </w:tr>
      <w:tr>
        <w:tc>
          <w:tcPr>
            <w:tcW w:type="dxa" w:w="5285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00_ADMIN</w:t>
            </w:r>
          </w:p>
        </w:tc>
        <w:tc>
          <w:tcPr>
            <w:tcW w:type="dxa" w:w="5285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Escopo, controle de acesso, responsáveis, versão e histórico.</w:t>
            </w:r>
          </w:p>
        </w:tc>
      </w:tr>
      <w:tr>
        <w:tc>
          <w:tcPr>
            <w:tcW w:type="dxa" w:w="5285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01_RECEBIDOS_ORIGINAIS</w:t>
            </w:r>
          </w:p>
        </w:tc>
        <w:tc>
          <w:tcPr>
            <w:tcW w:type="dxa" w:w="5285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Arquivos preservados sem alteração.</w:t>
            </w:r>
          </w:p>
        </w:tc>
      </w:tr>
      <w:tr>
        <w:tc>
          <w:tcPr>
            <w:tcW w:type="dxa" w:w="5285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02_LAYOUTS_E_AREAS</w:t>
            </w:r>
          </w:p>
        </w:tc>
        <w:tc>
          <w:tcPr>
            <w:tcW w:type="dxa" w:w="5285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Abrigos, ponto de troca, rotas, mudanças e registros visuais.</w:t>
            </w:r>
          </w:p>
        </w:tc>
      </w:tr>
      <w:tr>
        <w:tc>
          <w:tcPr>
            <w:tcW w:type="dxa" w:w="5285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03_ATIVIDADES_E_PESSOAS</w:t>
            </w:r>
          </w:p>
        </w:tc>
        <w:tc>
          <w:tcPr>
            <w:tcW w:type="dxa" w:w="5285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Funções, autorizações, treinamentos, entrevistas e escalas.</w:t>
            </w:r>
          </w:p>
        </w:tc>
      </w:tr>
      <w:tr>
        <w:tc>
          <w:tcPr>
            <w:tcW w:type="dxa" w:w="5285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04_CILINDROS_E_QUANTIDADES</w:t>
            </w:r>
          </w:p>
        </w:tc>
        <w:tc>
          <w:tcPr>
            <w:tcW w:type="dxa" w:w="5285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Inventários, entradas, saídas, cheios, vazios e segregados.</w:t>
            </w:r>
          </w:p>
        </w:tc>
      </w:tr>
      <w:tr>
        <w:tc>
          <w:tcPr>
            <w:tcW w:type="dxa" w:w="5285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05_PROCEDIMENTOS_E_CONTROLES</w:t>
            </w:r>
          </w:p>
        </w:tc>
        <w:tc>
          <w:tcPr>
            <w:tcW w:type="dxa" w:w="5285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Recebimento, armazenamento, troca, inspeções e emergência.</w:t>
            </w:r>
          </w:p>
        </w:tc>
      </w:tr>
      <w:tr>
        <w:tc>
          <w:tcPr>
            <w:tcW w:type="dxa" w:w="5285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06_EQUIPAMENTOS_E_MANUTENCAO</w:t>
            </w:r>
          </w:p>
        </w:tc>
        <w:tc>
          <w:tcPr>
            <w:tcW w:type="dxa" w:w="5285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Empilhadeiras, conexões, mangueiras, desvios e ordens.</w:t>
            </w:r>
          </w:p>
        </w:tc>
      </w:tr>
      <w:tr>
        <w:tc>
          <w:tcPr>
            <w:tcW w:type="dxa" w:w="5285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07_EVIDENCIAS</w:t>
            </w:r>
          </w:p>
        </w:tc>
        <w:tc>
          <w:tcPr>
            <w:tcW w:type="dxa" w:w="5285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Cronologia, matrizes, confiabilidade e rastreabilidade.</w:t>
            </w:r>
          </w:p>
        </w:tc>
      </w:tr>
      <w:tr>
        <w:tc>
          <w:tcPr>
            <w:tcW w:type="dxa" w:w="5285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08_PENDENCIAS</w:t>
            </w:r>
          </w:p>
        </w:tc>
        <w:tc>
          <w:tcPr>
            <w:tcW w:type="dxa" w:w="5285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Solicitações, prazos, respostas e impacto.</w:t>
            </w:r>
          </w:p>
        </w:tc>
      </w:tr>
      <w:tr>
        <w:tc>
          <w:tcPr>
            <w:tcW w:type="dxa" w:w="5285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09_GATE_E_SAIDAS</w:t>
            </w:r>
          </w:p>
        </w:tc>
        <w:tc>
          <w:tcPr>
            <w:tcW w:type="dxa" w:w="5285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Decisão de prontidão, ressalvas e versões emitidas.</w:t>
            </w:r>
          </w:p>
        </w:tc>
      </w:tr>
    </w:tbl>
    <w:p>
      <w:pPr>
        <w:pStyle w:val="Heading1"/>
      </w:pPr>
      <w:r>
        <w:t>8. Cronologia fictícia</w:t>
      </w:r>
    </w:p>
    <w:tbl>
      <w:tblPr>
        <w:tblStyle w:val="TableGrid"/>
        <w:tblW w:type="auto" w:w="0"/>
        <w:jc w:val="center"/>
        <w:tblLayout w:type="autofit"/>
        <w:tblLook w:firstColumn="1" w:firstRow="1" w:lastColumn="0" w:lastRow="0" w:noHBand="0" w:noVBand="1" w:val="04A0"/>
      </w:tblPr>
      <w:tblGrid>
        <w:gridCol w:w="3523"/>
        <w:gridCol w:w="3523"/>
        <w:gridCol w:w="3523"/>
      </w:tblGrid>
      <w:tr>
        <w:tc>
          <w:tcPr>
            <w:tcW w:type="dxa" w:w="3523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DATA</w:t>
            </w:r>
          </w:p>
        </w:tc>
        <w:tc>
          <w:tcPr>
            <w:tcW w:type="dxa" w:w="3523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EVENTO</w:t>
            </w:r>
          </w:p>
        </w:tc>
        <w:tc>
          <w:tcPr>
            <w:tcW w:type="dxa" w:w="3523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IMPACTO DOCUMENTAL</w:t>
            </w:r>
          </w:p>
        </w:tc>
      </w:tr>
      <w:tr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01/2025</w:t>
            </w:r>
          </w:p>
        </w:tc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Início do período P1.</w:t>
            </w:r>
          </w:p>
        </w:tc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Abrigo original e rotina descentralizada.</w:t>
            </w:r>
          </w:p>
        </w:tc>
      </w:tr>
      <w:tr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03/2025</w:t>
            </w:r>
          </w:p>
        </w:tc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Primeira lacuna no inventário.</w:t>
            </w:r>
          </w:p>
        </w:tc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Quantidade diária não rastreável.</w:t>
            </w:r>
          </w:p>
        </w:tc>
      </w:tr>
      <w:tr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05/2025</w:t>
            </w:r>
          </w:p>
        </w:tc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Revisão do procedimento de armazenamento.</w:t>
            </w:r>
          </w:p>
        </w:tc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Ainda sem registro padronizado de troca.</w:t>
            </w:r>
          </w:p>
        </w:tc>
      </w:tr>
      <w:tr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08/2025</w:t>
            </w:r>
          </w:p>
        </w:tc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Decisão de transferir o abrigo.</w:t>
            </w:r>
          </w:p>
        </w:tc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Novo projeto e análise de riscos.</w:t>
            </w:r>
          </w:p>
        </w:tc>
      </w:tr>
      <w:tr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10/2025</w:t>
            </w:r>
          </w:p>
        </w:tc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Novo abrigo entra em operação.</w:t>
            </w:r>
          </w:p>
        </w:tc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Início do período P2.</w:t>
            </w:r>
          </w:p>
        </w:tc>
      </w:tr>
      <w:tr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11/2025</w:t>
            </w:r>
          </w:p>
        </w:tc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Procedimento de troca REV03 implantado.</w:t>
            </w:r>
          </w:p>
        </w:tc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Checklist e autorização formal.</w:t>
            </w:r>
          </w:p>
        </w:tc>
      </w:tr>
      <w:tr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01/2026</w:t>
            </w:r>
          </w:p>
        </w:tc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Inspeção identifica cilindro sem etiqueta legível.</w:t>
            </w:r>
          </w:p>
        </w:tc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Item segregado.</w:t>
            </w:r>
          </w:p>
        </w:tc>
      </w:tr>
      <w:tr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03/2026</w:t>
            </w:r>
          </w:p>
        </w:tc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Odor percebido durante troca na EMP-04.</w:t>
            </w:r>
          </w:p>
        </w:tc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Atividade interrompida; cilindro isolado.</w:t>
            </w:r>
          </w:p>
        </w:tc>
      </w:tr>
      <w:tr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03/2026</w:t>
            </w:r>
          </w:p>
        </w:tc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Mangueira/conexão da EMP-04 inspecionada.</w:t>
            </w:r>
          </w:p>
        </w:tc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Causa não definida documentalmente.</w:t>
            </w:r>
          </w:p>
        </w:tc>
      </w:tr>
      <w:tr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06/2026</w:t>
            </w:r>
          </w:p>
        </w:tc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Abertura da organização documental.</w:t>
            </w:r>
          </w:p>
        </w:tc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Inventário, matriz e gate.</w:t>
            </w:r>
          </w:p>
        </w:tc>
      </w:tr>
    </w:tbl>
    <w:p>
      <w:r>
        <w:br w:type="page"/>
      </w:r>
    </w:p>
    <w:p>
      <w:pPr>
        <w:pStyle w:val="Heading1"/>
      </w:pPr>
      <w:r>
        <w:t>9. Atividades, pessoas e frequência</w:t>
      </w:r>
    </w:p>
    <w:tbl>
      <w:tblPr>
        <w:tblStyle w:val="TableGrid"/>
        <w:tblW w:type="auto" w:w="0"/>
        <w:jc w:val="center"/>
        <w:tblLayout w:type="autofit"/>
        <w:tblLook w:firstColumn="1" w:firstRow="1" w:lastColumn="0" w:lastRow="0" w:noHBand="0" w:noVBand="1" w:val="04A0"/>
      </w:tblPr>
      <w:tblGrid>
        <w:gridCol w:w="2114"/>
        <w:gridCol w:w="2114"/>
        <w:gridCol w:w="2114"/>
        <w:gridCol w:w="2114"/>
        <w:gridCol w:w="2114"/>
      </w:tblGrid>
      <w:tr>
        <w:tc>
          <w:tcPr>
            <w:tcW w:type="dxa" w:w="2114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ATIVIDADE</w:t>
            </w:r>
          </w:p>
        </w:tc>
        <w:tc>
          <w:tcPr>
            <w:tcW w:type="dxa" w:w="2114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RESPONSÁVEL</w:t>
            </w:r>
          </w:p>
        </w:tc>
        <w:tc>
          <w:tcPr>
            <w:tcW w:type="dxa" w:w="2114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FREQUÊNCIA INFORMADA</w:t>
            </w:r>
          </w:p>
        </w:tc>
        <w:tc>
          <w:tcPr>
            <w:tcW w:type="dxa" w:w="2114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ÁREA</w:t>
            </w:r>
          </w:p>
        </w:tc>
        <w:tc>
          <w:tcPr>
            <w:tcW w:type="dxa" w:w="2114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EVIDÊNCIA</w:t>
            </w:r>
          </w:p>
        </w:tc>
      </w:tr>
      <w:tr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Receber cilindros</w:t>
            </w:r>
          </w:p>
        </w:tc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Almoxarife</w:t>
            </w:r>
          </w:p>
        </w:tc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2 a 3 entregas/semana</w:t>
            </w:r>
          </w:p>
        </w:tc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Abrigo</w:t>
            </w:r>
          </w:p>
        </w:tc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DOC-002, DOC-012</w:t>
            </w:r>
          </w:p>
        </w:tc>
      </w:tr>
      <w:tr>
        <w:tc>
          <w:tcPr>
            <w:tcW w:type="dxa" w:w="2114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Inspecionar condição externa</w:t>
            </w:r>
          </w:p>
        </w:tc>
        <w:tc>
          <w:tcPr>
            <w:tcW w:type="dxa" w:w="2114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Almoxarife / operador</w:t>
            </w:r>
          </w:p>
        </w:tc>
        <w:tc>
          <w:tcPr>
            <w:tcW w:type="dxa" w:w="2114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A cada recebimento ou troca</w:t>
            </w:r>
          </w:p>
        </w:tc>
        <w:tc>
          <w:tcPr>
            <w:tcW w:type="dxa" w:w="2114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Abrigo/ponto</w:t>
            </w:r>
          </w:p>
        </w:tc>
        <w:tc>
          <w:tcPr>
            <w:tcW w:type="dxa" w:w="2114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DOC-009</w:t>
            </w:r>
          </w:p>
        </w:tc>
      </w:tr>
      <w:tr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Transportar cilindro</w:t>
            </w:r>
          </w:p>
        </w:tc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Operador autorizado</w:t>
            </w:r>
          </w:p>
        </w:tc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Conforme consumo</w:t>
            </w:r>
          </w:p>
        </w:tc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Rota interna</w:t>
            </w:r>
          </w:p>
        </w:tc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DOC-005, relatos</w:t>
            </w:r>
          </w:p>
        </w:tc>
      </w:tr>
      <w:tr>
        <w:tc>
          <w:tcPr>
            <w:tcW w:type="dxa" w:w="2114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Trocar cilindro</w:t>
            </w:r>
          </w:p>
        </w:tc>
        <w:tc>
          <w:tcPr>
            <w:tcW w:type="dxa" w:w="2114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Operador autorizado</w:t>
            </w:r>
          </w:p>
        </w:tc>
        <w:tc>
          <w:tcPr>
            <w:tcW w:type="dxa" w:w="2114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Relatos: 1 a 3 trocas/turno</w:t>
            </w:r>
          </w:p>
        </w:tc>
        <w:tc>
          <w:tcPr>
            <w:tcW w:type="dxa" w:w="2114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Ponto de troca</w:t>
            </w:r>
          </w:p>
        </w:tc>
        <w:tc>
          <w:tcPr>
            <w:tcW w:type="dxa" w:w="2114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DOC-004, DOC-010, DOC-013</w:t>
            </w:r>
          </w:p>
        </w:tc>
      </w:tr>
      <w:tr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Segregar cilindro com desvio</w:t>
            </w:r>
          </w:p>
        </w:tc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Operador / líder</w:t>
            </w:r>
          </w:p>
        </w:tc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Eventual</w:t>
            </w:r>
          </w:p>
        </w:tc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Área definida</w:t>
            </w:r>
          </w:p>
        </w:tc>
        <w:tc>
          <w:tcPr>
            <w:tcW w:type="dxa" w:w="2114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DOC-003, DOC-014</w:t>
            </w:r>
          </w:p>
        </w:tc>
      </w:tr>
      <w:tr>
        <w:tc>
          <w:tcPr>
            <w:tcW w:type="dxa" w:w="2114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Devolver vazios</w:t>
            </w:r>
          </w:p>
        </w:tc>
        <w:tc>
          <w:tcPr>
            <w:tcW w:type="dxa" w:w="2114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Almoxarife / prestador</w:t>
            </w:r>
          </w:p>
        </w:tc>
        <w:tc>
          <w:tcPr>
            <w:tcW w:type="dxa" w:w="2114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Por entrega</w:t>
            </w:r>
          </w:p>
        </w:tc>
        <w:tc>
          <w:tcPr>
            <w:tcW w:type="dxa" w:w="2114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Abrigo/expedição</w:t>
            </w:r>
          </w:p>
        </w:tc>
        <w:tc>
          <w:tcPr>
            <w:tcW w:type="dxa" w:w="2114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DOC-002, DOC-012</w:t>
            </w:r>
          </w:p>
        </w:tc>
      </w:tr>
    </w:tbl>
    <w:p>
      <w:r>
        <w:br w:type="page"/>
      </w:r>
    </w:p>
    <w:p>
      <w:pPr>
        <w:pStyle w:val="Heading1"/>
      </w:pPr>
      <w:r>
        <w:t>10. Matriz fato × atividade × área × evidência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6446520" cy="3626167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LU-CFP-004_Mapa_Rastreabilidade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46520" cy="3626167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  <w:color w:val="667482"/>
          <w:sz w:val="15"/>
        </w:rPr>
        <w:t>A rastreabilidade depende da ligação entre pessoa, atividade, área, período e fonte.</w:t>
      </w:r>
    </w:p>
    <w:tbl>
      <w:tblPr>
        <w:tblStyle w:val="TableGrid"/>
        <w:tblW w:type="auto" w:w="0"/>
        <w:jc w:val="center"/>
        <w:tblLayout w:type="autofit"/>
        <w:tblLook w:firstColumn="1" w:firstRow="1" w:lastColumn="0" w:lastRow="0" w:noHBand="0" w:noVBand="1" w:val="04A0"/>
      </w:tblPr>
      <w:tblGrid>
        <w:gridCol w:w="1510"/>
        <w:gridCol w:w="1510"/>
        <w:gridCol w:w="1510"/>
        <w:gridCol w:w="1510"/>
        <w:gridCol w:w="1510"/>
        <w:gridCol w:w="1510"/>
        <w:gridCol w:w="1510"/>
      </w:tblGrid>
      <w:tr>
        <w:tc>
          <w:tcPr>
            <w:tcW w:type="dxa" w:w="1510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FATO</w:t>
            </w:r>
          </w:p>
        </w:tc>
        <w:tc>
          <w:tcPr>
            <w:tcW w:type="dxa" w:w="1510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DESCRIÇÃO</w:t>
            </w:r>
          </w:p>
        </w:tc>
        <w:tc>
          <w:tcPr>
            <w:tcW w:type="dxa" w:w="1510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ATIVIDADE</w:t>
            </w:r>
          </w:p>
        </w:tc>
        <w:tc>
          <w:tcPr>
            <w:tcW w:type="dxa" w:w="1510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ÁREA</w:t>
            </w:r>
          </w:p>
        </w:tc>
        <w:tc>
          <w:tcPr>
            <w:tcW w:type="dxa" w:w="1510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EVIDÊNCIA</w:t>
            </w:r>
          </w:p>
        </w:tc>
        <w:tc>
          <w:tcPr>
            <w:tcW w:type="dxa" w:w="1510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CONFIABILIDADE</w:t>
            </w:r>
          </w:p>
        </w:tc>
        <w:tc>
          <w:tcPr>
            <w:tcW w:type="dxa" w:w="1510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LACUNA</w:t>
            </w:r>
          </w:p>
        </w:tc>
      </w:tr>
      <w:tr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F-01</w:t>
            </w:r>
          </w:p>
        </w:tc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Havia seis empilhadeiras a GLP.</w:t>
            </w:r>
          </w:p>
        </w:tc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Operação/manutenção</w:t>
            </w:r>
          </w:p>
        </w:tc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Pátio e produção</w:t>
            </w:r>
          </w:p>
        </w:tc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DOC-011; inventário de equipamentos</w:t>
            </w:r>
          </w:p>
        </w:tc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Alta</w:t>
            </w:r>
          </w:p>
        </w:tc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Confirmar períodos de indisponibilidade.</w:t>
            </w:r>
          </w:p>
        </w:tc>
      </w:tr>
      <w:tr>
        <w:tc>
          <w:tcPr>
            <w:tcW w:type="dxa" w:w="1510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F-02</w:t>
            </w:r>
          </w:p>
        </w:tc>
        <w:tc>
          <w:tcPr>
            <w:tcW w:type="dxa" w:w="1510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A troca ocorria em pontos distintos no P1.</w:t>
            </w:r>
          </w:p>
        </w:tc>
        <w:tc>
          <w:tcPr>
            <w:tcW w:type="dxa" w:w="1510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Troca</w:t>
            </w:r>
          </w:p>
        </w:tc>
        <w:tc>
          <w:tcPr>
            <w:tcW w:type="dxa" w:w="1510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Pátio/áreas operacionais</w:t>
            </w:r>
          </w:p>
        </w:tc>
        <w:tc>
          <w:tcPr>
            <w:tcW w:type="dxa" w:w="1510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Entrevistas; procedimento antigo</w:t>
            </w:r>
          </w:p>
        </w:tc>
        <w:tc>
          <w:tcPr>
            <w:tcW w:type="dxa" w:w="1510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Média</w:t>
            </w:r>
          </w:p>
        </w:tc>
        <w:tc>
          <w:tcPr>
            <w:tcW w:type="dxa" w:w="1510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Registros de troca do P1 ausentes.</w:t>
            </w:r>
          </w:p>
        </w:tc>
      </w:tr>
      <w:tr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F-03</w:t>
            </w:r>
          </w:p>
        </w:tc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O novo abrigo operou a partir de 10/2025.</w:t>
            </w:r>
          </w:p>
        </w:tc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Armazenamento</w:t>
            </w:r>
          </w:p>
        </w:tc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Abrigo novo</w:t>
            </w:r>
          </w:p>
        </w:tc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Layout; projeto; PGR</w:t>
            </w:r>
          </w:p>
        </w:tc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Alta</w:t>
            </w:r>
          </w:p>
        </w:tc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Data de liberação precisa de aceite formal.</w:t>
            </w:r>
          </w:p>
        </w:tc>
      </w:tr>
      <w:tr>
        <w:tc>
          <w:tcPr>
            <w:tcW w:type="dxa" w:w="1510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F-04</w:t>
            </w:r>
          </w:p>
        </w:tc>
        <w:tc>
          <w:tcPr>
            <w:tcW w:type="dxa" w:w="1510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Somente pessoas autorizadas deveriam trocar cilindros no P2.</w:t>
            </w:r>
          </w:p>
        </w:tc>
        <w:tc>
          <w:tcPr>
            <w:tcW w:type="dxa" w:w="1510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Troca</w:t>
            </w:r>
          </w:p>
        </w:tc>
        <w:tc>
          <w:tcPr>
            <w:tcW w:type="dxa" w:w="1510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Ponto central</w:t>
            </w:r>
          </w:p>
        </w:tc>
        <w:tc>
          <w:tcPr>
            <w:tcW w:type="dxa" w:w="1510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DOC-004; DOC-005</w:t>
            </w:r>
          </w:p>
        </w:tc>
        <w:tc>
          <w:tcPr>
            <w:tcW w:type="dxa" w:w="1510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Média</w:t>
            </w:r>
          </w:p>
        </w:tc>
        <w:tc>
          <w:tcPr>
            <w:tcW w:type="dxa" w:w="1510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Duas autorizações sem data.</w:t>
            </w:r>
          </w:p>
        </w:tc>
      </w:tr>
      <w:tr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F-05</w:t>
            </w:r>
          </w:p>
        </w:tc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A quantidade armazenada variava.</w:t>
            </w:r>
          </w:p>
        </w:tc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Armazenamento</w:t>
            </w:r>
          </w:p>
        </w:tc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Abrigo</w:t>
            </w:r>
          </w:p>
        </w:tc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DOC-002; DOC-012</w:t>
            </w:r>
          </w:p>
        </w:tc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Média</w:t>
            </w:r>
          </w:p>
        </w:tc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Inventário incompleto em dois meses.</w:t>
            </w:r>
          </w:p>
        </w:tc>
      </w:tr>
      <w:tr>
        <w:tc>
          <w:tcPr>
            <w:tcW w:type="dxa" w:w="1510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F-06</w:t>
            </w:r>
          </w:p>
        </w:tc>
        <w:tc>
          <w:tcPr>
            <w:tcW w:type="dxa" w:w="1510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Houve percepção de odor durante troca na EMP-04.</w:t>
            </w:r>
          </w:p>
        </w:tc>
        <w:tc>
          <w:tcPr>
            <w:tcW w:type="dxa" w:w="1510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Troca/manutenção</w:t>
            </w:r>
          </w:p>
        </w:tc>
        <w:tc>
          <w:tcPr>
            <w:tcW w:type="dxa" w:w="1510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Ponto central</w:t>
            </w:r>
          </w:p>
        </w:tc>
        <w:tc>
          <w:tcPr>
            <w:tcW w:type="dxa" w:w="1510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DOC-014; DOC-011</w:t>
            </w:r>
          </w:p>
        </w:tc>
        <w:tc>
          <w:tcPr>
            <w:tcW w:type="dxa" w:w="1510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Média</w:t>
            </w:r>
          </w:p>
        </w:tc>
        <w:tc>
          <w:tcPr>
            <w:tcW w:type="dxa" w:w="1510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Não há conclusão de origem do desvio.</w:t>
            </w:r>
          </w:p>
        </w:tc>
      </w:tr>
      <w:tr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F-07</w:t>
            </w:r>
          </w:p>
        </w:tc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Inspeções eram previstas.</w:t>
            </w:r>
          </w:p>
        </w:tc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Inspeção</w:t>
            </w:r>
          </w:p>
        </w:tc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Abrigo e cilindros</w:t>
            </w:r>
          </w:p>
        </w:tc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DOC-003; DOC-009</w:t>
            </w:r>
          </w:p>
        </w:tc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Média</w:t>
            </w:r>
          </w:p>
        </w:tc>
        <w:tc>
          <w:tcPr>
            <w:tcW w:type="dxa" w:w="1510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2"/>
              </w:rPr>
              <w:t>Dois meses sem registros.</w:t>
            </w:r>
          </w:p>
        </w:tc>
      </w:tr>
    </w:tbl>
    <w:p>
      <w:r>
        <w:br w:type="page"/>
      </w:r>
    </w:p>
    <w:p>
      <w:pPr>
        <w:pStyle w:val="Heading1"/>
      </w:pPr>
      <w:r>
        <w:t>11. Controle de pendências</w:t>
      </w:r>
    </w:p>
    <w:tbl>
      <w:tblPr>
        <w:tblStyle w:val="TableGrid"/>
        <w:tblW w:type="auto" w:w="0"/>
        <w:jc w:val="center"/>
        <w:tblLayout w:type="autofit"/>
        <w:tblLook w:firstColumn="1" w:firstRow="1" w:lastColumn="0" w:lastRow="0" w:noHBand="0" w:noVBand="1" w:val="04A0"/>
      </w:tblPr>
      <w:tblGrid>
        <w:gridCol w:w="1762"/>
        <w:gridCol w:w="1762"/>
        <w:gridCol w:w="1762"/>
        <w:gridCol w:w="1762"/>
        <w:gridCol w:w="1762"/>
        <w:gridCol w:w="1762"/>
      </w:tblGrid>
      <w:tr>
        <w:tc>
          <w:tcPr>
            <w:tcW w:type="dxa" w:w="1762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ID</w:t>
            </w:r>
          </w:p>
        </w:tc>
        <w:tc>
          <w:tcPr>
            <w:tcW w:type="dxa" w:w="1762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AÇÃO</w:t>
            </w:r>
          </w:p>
        </w:tc>
        <w:tc>
          <w:tcPr>
            <w:tcW w:type="dxa" w:w="1762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RESPONSÁVEL</w:t>
            </w:r>
          </w:p>
        </w:tc>
        <w:tc>
          <w:tcPr>
            <w:tcW w:type="dxa" w:w="1762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PRAZO</w:t>
            </w:r>
          </w:p>
        </w:tc>
        <w:tc>
          <w:tcPr>
            <w:tcW w:type="dxa" w:w="1762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IMPACTO</w:t>
            </w:r>
          </w:p>
        </w:tc>
        <w:tc>
          <w:tcPr>
            <w:tcW w:type="dxa" w:w="1762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JUSTIFICATIVA</w:t>
            </w:r>
          </w:p>
        </w:tc>
      </w:tr>
      <w:tr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P-01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Obter registros de troca do período P1.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Logística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5 dias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Alto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Define frequência e pessoas.</w:t>
            </w:r>
          </w:p>
        </w:tc>
      </w:tr>
      <w:tr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P-02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Completar inventário de 02/2025 e 03/2025.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Almoxarifado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5 dias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Alto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Necessário para quantidades.</w:t>
            </w:r>
          </w:p>
        </w:tc>
      </w:tr>
      <w:tr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P-03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Confirmar data formal de liberação do novo abrigo.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Engenharia/SST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7 dias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Alto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Delimita os períodos.</w:t>
            </w:r>
          </w:p>
        </w:tc>
      </w:tr>
      <w:tr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P-04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Regularizar datas na matriz de operadores autorizados.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RH/SST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5 dias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Médio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Vincula pessoa e atividade.</w:t>
            </w:r>
          </w:p>
        </w:tc>
      </w:tr>
      <w:tr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P-05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Obter inspeções ausentes do abrigo.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SST/Logística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5 dias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Médio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Comprova rotina de controle.</w:t>
            </w:r>
          </w:p>
        </w:tc>
      </w:tr>
      <w:tr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P-06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Anexar documentos atuais de prevenção e incêndio.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Facilities/SST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7 dias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Médio</w:t>
            </w:r>
          </w:p>
        </w:tc>
        <w:tc>
          <w:tcPr>
            <w:tcW w:type="dxa" w:w="1762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Contexto de emergência.</w:t>
            </w:r>
          </w:p>
        </w:tc>
      </w:tr>
      <w:tr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P-07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Consolidar relato e manutenção da EMP-04 sem inferir causa.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Manutenção/SST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5 dias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Alto</w:t>
            </w:r>
          </w:p>
        </w:tc>
        <w:tc>
          <w:tcPr>
            <w:tcW w:type="dxa" w:w="1762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3"/>
              </w:rPr>
              <w:t>Evita conclusão por suposição.</w:t>
            </w:r>
          </w:p>
        </w:tc>
      </w:tr>
    </w:tbl>
    <w:p>
      <w:r>
        <w:br w:type="page"/>
      </w:r>
    </w:p>
    <w:p>
      <w:pPr>
        <w:pStyle w:val="Heading1"/>
      </w:pPr>
      <w:r>
        <w:t>12. Gate pré-análise</w:t>
      </w:r>
    </w:p>
    <w:tbl>
      <w:tblPr>
        <w:tblStyle w:val="TableGrid"/>
        <w:tblW w:type="auto" w:w="0"/>
        <w:jc w:val="center"/>
        <w:tblLayout w:type="autofit"/>
        <w:tblLook w:firstColumn="1" w:firstRow="1" w:lastColumn="0" w:lastRow="0" w:noHBand="0" w:noVBand="1" w:val="04A0"/>
      </w:tblPr>
      <w:tblGrid>
        <w:gridCol w:w="3523"/>
        <w:gridCol w:w="3523"/>
        <w:gridCol w:w="3523"/>
      </w:tblGrid>
      <w:tr>
        <w:tc>
          <w:tcPr>
            <w:tcW w:type="dxa" w:w="3523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CRITÉRIO</w:t>
            </w:r>
          </w:p>
        </w:tc>
        <w:tc>
          <w:tcPr>
            <w:tcW w:type="dxa" w:w="3523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STATUS</w:t>
            </w:r>
          </w:p>
        </w:tc>
        <w:tc>
          <w:tcPr>
            <w:tcW w:type="dxa" w:w="3523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JUSTIFICATIVA</w:t>
            </w:r>
          </w:p>
        </w:tc>
      </w:tr>
      <w:tr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Escopo, período e pergunta definidos</w:t>
            </w:r>
          </w:p>
        </w:tc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Atendido</w:t>
            </w:r>
          </w:p>
        </w:tc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A atividade e os dois períodos foram delimitados.</w:t>
            </w:r>
          </w:p>
        </w:tc>
      </w:tr>
      <w:tr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Pessoas e autorizações compreendidas</w:t>
            </w:r>
          </w:p>
        </w:tc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Parcial</w:t>
            </w:r>
          </w:p>
        </w:tc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Existem registros, mas duas autorizações não têm data.</w:t>
            </w:r>
          </w:p>
        </w:tc>
      </w:tr>
      <w:tr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Atividades e frequência documentadas</w:t>
            </w:r>
          </w:p>
        </w:tc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Não atendido</w:t>
            </w:r>
          </w:p>
        </w:tc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Registros do P1 não foram localizados.</w:t>
            </w:r>
          </w:p>
        </w:tc>
      </w:tr>
      <w:tr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Áreas e mudanças de layout identificadas</w:t>
            </w:r>
          </w:p>
        </w:tc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Parcial</w:t>
            </w:r>
          </w:p>
        </w:tc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Layouts existem; falta aceite formal do novo abrigo.</w:t>
            </w:r>
          </w:p>
        </w:tc>
      </w:tr>
      <w:tr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Quantidades rastreáveis</w:t>
            </w:r>
          </w:p>
        </w:tc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Parcial</w:t>
            </w:r>
          </w:p>
        </w:tc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Notas e inventários não formam série completa.</w:t>
            </w:r>
          </w:p>
        </w:tc>
      </w:tr>
      <w:tr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Procedimentos e controles registrados</w:t>
            </w:r>
          </w:p>
        </w:tc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Parcial</w:t>
            </w:r>
          </w:p>
        </w:tc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Inspeções ausentes em dois meses.</w:t>
            </w:r>
          </w:p>
        </w:tc>
      </w:tr>
      <w:tr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Evento de março organizado sem inferência</w:t>
            </w:r>
          </w:p>
        </w:tc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Atendido</w:t>
            </w:r>
          </w:p>
        </w:tc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Fato e documentos foram separados de hipótese causal.</w:t>
            </w:r>
          </w:p>
        </w:tc>
      </w:tr>
      <w:tr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Base suficiente para conclusão sobre periculosidade</w:t>
            </w:r>
          </w:p>
        </w:tc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Não atendido</w:t>
            </w:r>
          </w:p>
        </w:tc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4"/>
              </w:rPr>
              <w:t>Faltam frequência, quantidades e delimitação documental consistente.</w:t>
            </w:r>
          </w:p>
        </w:tc>
      </w:tr>
    </w:tbl>
    <w:p>
      <w:pPr>
        <w:pStyle w:val="KMGQuote"/>
      </w:pPr>
      <w:r>
        <w:t>DECISÃO DEMONSTRATIVA: COMPLEMENTAR E ORGANIZAR A BASE. Os documentos disponíveis permitem estruturar a atividade e os períodos, mas não sustentam conclusão sobre periculosidade, adicional, habitualidade, intermitência ou área de risco.</w:t>
      </w:r>
    </w:p>
    <w:p>
      <w:pPr>
        <w:pStyle w:val="Heading1"/>
      </w:pPr>
      <w:r>
        <w:t>13. Reutilização do método</w:t>
      </w:r>
    </w:p>
    <w:p>
      <w:pPr>
        <w:pStyle w:val="ListBullet"/>
      </w:pPr>
      <w:r>
        <w:t>Separar as configurações anteriores e posteriores à mudança de instalação.</w:t>
      </w:r>
    </w:p>
    <w:p>
      <w:pPr>
        <w:pStyle w:val="ListBullet"/>
      </w:pPr>
      <w:r>
        <w:t>Relacionar cada atividade à pessoa, frequência, área, quantidade e documento.</w:t>
      </w:r>
    </w:p>
    <w:p>
      <w:pPr>
        <w:pStyle w:val="ListBullet"/>
      </w:pPr>
      <w:r>
        <w:t>Registrar ausências como pendências, sem preencher lacunas por suposição.</w:t>
      </w:r>
    </w:p>
    <w:p>
      <w:pPr>
        <w:pStyle w:val="ListBullet"/>
      </w:pPr>
      <w:r>
        <w:t>Tratar relatos como fontes que exigem cruzamento com documentos e registros.</w:t>
      </w:r>
    </w:p>
    <w:p>
      <w:pPr>
        <w:pStyle w:val="ListBullet"/>
      </w:pPr>
      <w:r>
        <w:t>Executar o gate antes de qualquer conclusão ou comunicação comercial do caso.</w:t>
      </w:r>
    </w:p>
    <w:p>
      <w:pPr>
        <w:pStyle w:val="Heading1"/>
      </w:pPr>
      <w:r>
        <w:t>14. Referências oficiais</w:t>
      </w:r>
    </w:p>
    <w:tbl>
      <w:tblPr>
        <w:tblStyle w:val="TableGrid"/>
        <w:tblW w:type="auto" w:w="0"/>
        <w:jc w:val="center"/>
        <w:tblLayout w:type="autofit"/>
        <w:tblLook w:firstColumn="1" w:firstRow="1" w:lastColumn="0" w:lastRow="0" w:noHBand="0" w:noVBand="1" w:val="04A0"/>
      </w:tblPr>
      <w:tblGrid>
        <w:gridCol w:w="3523"/>
        <w:gridCol w:w="3523"/>
        <w:gridCol w:w="3523"/>
      </w:tblGrid>
      <w:tr>
        <w:tc>
          <w:tcPr>
            <w:tcW w:type="dxa" w:w="3523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REFERÊNCIA</w:t>
            </w:r>
          </w:p>
        </w:tc>
        <w:tc>
          <w:tcPr>
            <w:tcW w:type="dxa" w:w="3523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UTILIZAÇÃO</w:t>
            </w:r>
          </w:p>
        </w:tc>
        <w:tc>
          <w:tcPr>
            <w:tcW w:type="dxa" w:w="3523"/>
            <w:shd w:fill="12365F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pPr>
              <w:jc w:val="center"/>
            </w:pPr>
            <w:r/>
            <w:r>
              <w:rPr>
                <w:rFonts w:ascii="Aptos" w:hAnsi="Aptos"/>
                <w:b/>
                <w:color w:val="FFFFFF"/>
                <w:sz w:val="15"/>
              </w:rPr>
              <w:t>FONTE</w:t>
            </w:r>
          </w:p>
        </w:tc>
      </w:tr>
      <w:tr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1"/>
              </w:rPr>
              <w:t>NR-16 — Atividades e Operações Perigosas</w:t>
            </w:r>
          </w:p>
        </w:tc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1"/>
              </w:rPr>
              <w:t>Parte geral e Anexo II — inflamáveis. Última modificação informada: Portaria MTE nº 2.021/2025.</w:t>
            </w:r>
          </w:p>
        </w:tc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1"/>
              </w:rPr>
              <w:t>https://www.gov.br/trabalho-e-emprego/pt-br/acesso-a-informacao/participacao-social/conselhos-e-orgaos-colegiados/comissao-tripartite-partitaria-permanente/normas-regulamentadora/normas-regulamentadoras-vigentes/norma-regulamentadora-no-16-nr-16</w:t>
            </w:r>
          </w:p>
        </w:tc>
      </w:tr>
      <w:tr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1"/>
              </w:rPr>
              <w:t>NR-20 — Segurança e Saúde no Trabalho com Inflamáveis e Combustíveis</w:t>
            </w:r>
          </w:p>
        </w:tc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1"/>
              </w:rPr>
              <w:t>Atividades, instalações, equipamentos, análise de riscos, capacitação e emergência. Última modificação informada: Portaria MTE nº 60/2025.</w:t>
            </w:r>
          </w:p>
        </w:tc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1"/>
              </w:rPr>
              <w:t>https://www.gov.br/trabalho-e-emprego/pt-br/acesso-a-informacao/participacao-social/conselhos-e-orgaos-colegiados/comissao-tripartite-partitaria-permanente/normas-regulamentadora/normas-regulamentadoras-vigentes/norma-regulamentadora-no-20-nr-20</w:t>
            </w:r>
          </w:p>
        </w:tc>
      </w:tr>
      <w:tr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1"/>
              </w:rPr>
              <w:t>Perguntas e Respostas da NR-20</w:t>
            </w:r>
          </w:p>
        </w:tc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1"/>
              </w:rPr>
              <w:t>Apoio interpretativo oficial, sem substituir o texto da norma.</w:t>
            </w:r>
          </w:p>
        </w:tc>
        <w:tc>
          <w:tcPr>
            <w:tcW w:type="dxa" w:w="3523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1"/>
              </w:rPr>
              <w:t>https://www.gov.br/trabalho-e-emprego/pt-br/assuntos/inspecao-do-trabalho/manuais-e-publicacoes/2020/perguntas_respostas_nr_20.pdf/view</w:t>
            </w:r>
          </w:p>
        </w:tc>
      </w:tr>
      <w:tr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1"/>
              </w:rPr>
              <w:t>NR-11</w:t>
            </w:r>
          </w:p>
        </w:tc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1"/>
              </w:rPr>
              <w:t>Contexto de empilhadeiras e movimentação de materiais.</w:t>
            </w:r>
          </w:p>
        </w:tc>
        <w:tc>
          <w:tcPr>
            <w:tcW w:type="dxa" w:w="3523"/>
            <w:shd w:fill="F7F9FB"/>
            <w:vAlign w:val="center"/>
            <w:tcMar>
              <w:top w:w="80" w:type="dxa"/>
              <w:start w:w="90" w:type="dxa"/>
              <w:bottom w:w="80" w:type="dxa"/>
              <w:end w:w="90" w:type="dxa"/>
            </w:tcMar>
          </w:tcPr>
          <w:p>
            <w:r/>
            <w:r>
              <w:rPr>
                <w:rFonts w:ascii="Aptos" w:hAnsi="Aptos"/>
                <w:b w:val="0"/>
                <w:color w:val="24384B"/>
                <w:sz w:val="11"/>
              </w:rPr>
              <w:t>https://www.gov.br/trabalho-e-emprego/pt-br/acesso-a-informacao/participacao-social/conselhos-e-orgaos-colegiados/comissao-tripartite-partitaria-permanente/normas-regulamentadora/normas-regulamentadoras-vigentes</w:t>
            </w:r>
          </w:p>
        </w:tc>
      </w:tr>
    </w:tbl>
    <w:p>
      <w:pPr>
        <w:pStyle w:val="KMGNote"/>
      </w:pPr>
      <w:r>
        <w:t>As referências devem ser verificadas novamente antes de qualquer edição comercial definitiva ou uso em treinamento.</w:t>
      </w:r>
    </w:p>
    <w:p>
      <w:r>
        <w:br w:type="page"/>
      </w:r>
    </w:p>
    <w:p>
      <w:pPr>
        <w:pStyle w:val="KMGAppendixTitle"/>
        <w:jc w:val="left"/>
      </w:pPr>
      <w:r>
        <w:t>ANEXO - CONTROLES DE RASTREABILIDADE E VALIDAÇÃO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0570"/>
      </w:tblGrid>
      <w:tr>
        <w:tc>
          <w:tcPr>
            <w:tcW w:type="dxa" w:w="10570"/>
            <w:shd w:fill="FFF4D6"/>
            <w:vAlign w:val="center"/>
          </w:tcPr>
          <w:p>
            <w:r/>
            <w:r>
              <w:rPr>
                <w:b/>
                <w:color w:val="173B67"/>
                <w:sz w:val="18"/>
              </w:rPr>
              <w:t>Este bloco padroniza rastreabilidade, validação normativa, proteção de dados e bloqueio de mérito. Não converte o caso fictício em laudo, parecer ou conclusão aplicável a caso real.</w:t>
            </w:r>
          </w:p>
        </w:tc>
      </w:tr>
    </w:tbl>
    <w:p/>
    <w:p>
      <w:pPr>
        <w:pStyle w:val="KMGSection"/>
      </w:pPr>
      <w:r>
        <w:t>A. STATUS DO CASO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285"/>
        <w:gridCol w:w="5285"/>
      </w:tblGrid>
      <w:tr>
        <w:tc>
          <w:tcPr>
            <w:tcW w:type="dxa" w:w="2304"/>
            <w:vAlign w:val="center"/>
            <w:shd w:fill="173B67"/>
          </w:tcPr>
          <w:p>
            <w:r/>
            <w:r>
              <w:rPr>
                <w:b/>
                <w:color w:val="FFFFFF"/>
                <w:sz w:val="17"/>
              </w:rPr>
              <w:t>Campo</w:t>
            </w:r>
          </w:p>
        </w:tc>
        <w:tc>
          <w:tcPr>
            <w:tcW w:type="dxa" w:w="8352"/>
            <w:vAlign w:val="center"/>
            <w:shd w:fill="173B67"/>
          </w:tcPr>
          <w:p>
            <w:r/>
            <w:r>
              <w:rPr>
                <w:b/>
                <w:color w:val="FFFFFF"/>
                <w:sz w:val="17"/>
              </w:rPr>
              <w:t>Conteúdo</w:t>
            </w:r>
          </w:p>
        </w:tc>
      </w:tr>
      <w:tr>
        <w:tc>
          <w:tcPr>
            <w:tcW w:type="dxa" w:w="2304"/>
            <w:vAlign w:val="center"/>
          </w:tcPr>
          <w:p>
            <w:r/>
            <w:r>
              <w:rPr>
                <w:b w:val="0"/>
                <w:sz w:val="16"/>
              </w:rPr>
              <w:t>Tipo</w:t>
            </w:r>
          </w:p>
        </w:tc>
        <w:tc>
          <w:tcPr>
            <w:tcW w:type="dxa" w:w="8352"/>
            <w:vAlign w:val="center"/>
          </w:tcPr>
          <w:p>
            <w:r/>
            <w:r>
              <w:rPr>
                <w:b w:val="0"/>
                <w:sz w:val="16"/>
              </w:rPr>
              <w:t>Organização documental de atividade fictícia com inflamáveis</w:t>
            </w:r>
          </w:p>
        </w:tc>
      </w:tr>
      <w:tr>
        <w:tc>
          <w:tcPr>
            <w:tcW w:type="dxa" w:w="2304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Papel processual</w:t>
            </w:r>
          </w:p>
        </w:tc>
        <w:tc>
          <w:tcPr>
            <w:tcW w:type="dxa" w:w="8352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Demonstração metodológica; não caracteriza periculosidade ou adicional</w:t>
            </w:r>
          </w:p>
        </w:tc>
      </w:tr>
      <w:tr>
        <w:tc>
          <w:tcPr>
            <w:tcW w:type="dxa" w:w="2304"/>
            <w:vAlign w:val="center"/>
          </w:tcPr>
          <w:p>
            <w:r/>
            <w:r>
              <w:rPr>
                <w:b w:val="0"/>
                <w:sz w:val="16"/>
              </w:rPr>
              <w:t>Fase</w:t>
            </w:r>
          </w:p>
        </w:tc>
        <w:tc>
          <w:tcPr>
            <w:tcW w:type="dxa" w:w="8352"/>
            <w:vAlign w:val="center"/>
          </w:tcPr>
          <w:p>
            <w:r/>
            <w:r>
              <w:rPr>
                <w:b w:val="0"/>
                <w:sz w:val="16"/>
              </w:rPr>
              <w:t>Caso fictício preenchido - demonstração metodológica</w:t>
            </w:r>
          </w:p>
        </w:tc>
      </w:tr>
      <w:tr>
        <w:tc>
          <w:tcPr>
            <w:tcW w:type="dxa" w:w="2304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Etapa atual</w:t>
            </w:r>
          </w:p>
        </w:tc>
        <w:tc>
          <w:tcPr>
            <w:tcW w:type="dxa" w:w="8352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Atividades, áreas e períodos organizados; frequência, quantidades e liberação pendentes</w:t>
            </w:r>
          </w:p>
        </w:tc>
      </w:tr>
      <w:tr>
        <w:tc>
          <w:tcPr>
            <w:tcW w:type="dxa" w:w="2304"/>
            <w:vAlign w:val="center"/>
          </w:tcPr>
          <w:p>
            <w:r/>
            <w:r>
              <w:rPr>
                <w:b w:val="0"/>
                <w:sz w:val="16"/>
              </w:rPr>
              <w:t>Documentos considerados</w:t>
            </w:r>
          </w:p>
        </w:tc>
        <w:tc>
          <w:tcPr>
            <w:tcW w:type="dxa" w:w="8352"/>
            <w:vAlign w:val="center"/>
          </w:tcPr>
          <w:p>
            <w:r/>
            <w:r>
              <w:rPr>
                <w:b w:val="0"/>
                <w:sz w:val="16"/>
              </w:rPr>
              <w:t>layouts, inventários, procedimentos, checklists, autorizações e registros fictícios</w:t>
            </w:r>
          </w:p>
        </w:tc>
      </w:tr>
      <w:tr>
        <w:tc>
          <w:tcPr>
            <w:tcW w:type="dxa" w:w="2304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Pendências</w:t>
            </w:r>
          </w:p>
        </w:tc>
        <w:tc>
          <w:tcPr>
            <w:tcW w:type="dxa" w:w="8352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frequência, permanência, quantidades, áreas, liberação do abrigo e inspeções</w:t>
            </w:r>
          </w:p>
        </w:tc>
      </w:tr>
      <w:tr>
        <w:tc>
          <w:tcPr>
            <w:tcW w:type="dxa" w:w="2304"/>
            <w:vAlign w:val="center"/>
          </w:tcPr>
          <w:p>
            <w:r/>
            <w:r>
              <w:rPr>
                <w:b w:val="0"/>
                <w:sz w:val="16"/>
              </w:rPr>
              <w:t>Normas/temas correlatos</w:t>
            </w:r>
          </w:p>
        </w:tc>
        <w:tc>
          <w:tcPr>
            <w:tcW w:type="dxa" w:w="8352"/>
            <w:vAlign w:val="center"/>
          </w:tcPr>
          <w:p>
            <w:r/>
            <w:r>
              <w:rPr>
                <w:b w:val="0"/>
                <w:sz w:val="16"/>
              </w:rPr>
              <w:t>NR-16; NR-20; NR-11; NR-01</w:t>
            </w:r>
          </w:p>
        </w:tc>
      </w:tr>
      <w:tr>
        <w:tc>
          <w:tcPr>
            <w:tcW w:type="dxa" w:w="2304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Evidências/EVID</w:t>
            </w:r>
          </w:p>
        </w:tc>
        <w:tc>
          <w:tcPr>
            <w:tcW w:type="dxa" w:w="8352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EVID-PER-001, EVID-PER-002, EVID-PER-003, EVID-PER-004</w:t>
            </w:r>
          </w:p>
        </w:tc>
      </w:tr>
      <w:tr>
        <w:tc>
          <w:tcPr>
            <w:tcW w:type="dxa" w:w="2304"/>
            <w:vAlign w:val="center"/>
          </w:tcPr>
          <w:p>
            <w:r/>
            <w:r>
              <w:rPr>
                <w:b w:val="0"/>
                <w:sz w:val="16"/>
              </w:rPr>
              <w:t>Próximo documento</w:t>
            </w:r>
          </w:p>
        </w:tc>
        <w:tc>
          <w:tcPr>
            <w:tcW w:type="dxa" w:w="8352"/>
            <w:vAlign w:val="center"/>
          </w:tcPr>
          <w:p>
            <w:r/>
            <w:r>
              <w:rPr>
                <w:b w:val="0"/>
                <w:sz w:val="16"/>
              </w:rPr>
              <w:t>Matriz pessoa-atividade-área-período e gate normativo</w:t>
            </w:r>
          </w:p>
        </w:tc>
      </w:tr>
      <w:tr>
        <w:tc>
          <w:tcPr>
            <w:tcW w:type="dxa" w:w="2304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Evolução estimada</w:t>
            </w:r>
          </w:p>
        </w:tc>
        <w:tc>
          <w:tcPr>
            <w:tcW w:type="dxa" w:w="8352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75% metodológico; enquadramento bloqueado</w:t>
            </w:r>
          </w:p>
        </w:tc>
      </w:tr>
      <w:tr>
        <w:tc>
          <w:tcPr>
            <w:tcW w:type="dxa" w:w="2304"/>
            <w:vAlign w:val="center"/>
          </w:tcPr>
          <w:p>
            <w:r/>
            <w:r>
              <w:rPr>
                <w:b w:val="0"/>
                <w:sz w:val="16"/>
              </w:rPr>
              <w:t>Fontes de referência</w:t>
            </w:r>
          </w:p>
        </w:tc>
        <w:tc>
          <w:tcPr>
            <w:tcW w:type="dxa" w:w="8352"/>
            <w:vAlign w:val="center"/>
          </w:tcPr>
          <w:p>
            <w:r>
              <w:t>Normas vigentes e fontes técnicas aplicáveis</w:t>
            </w:r>
            <w:r>
              <w:rPr>
                <w:b w:val="0"/>
                <w:sz w:val="16"/>
              </w:rPr>
            </w:r>
          </w:p>
        </w:tc>
      </w:tr>
      <w:tr>
        <w:tc>
          <w:tcPr>
            <w:tcW w:type="dxa" w:w="2304"/>
            <w:vAlign w:val="center"/>
            <w:shd w:fill="F4F7F9"/>
          </w:tcPr>
          <w:p>
            <w:r>
              <w:t>Data da revisão documental</w:t>
            </w:r>
            <w:r>
              <w:rPr>
                <w:b w:val="0"/>
                <w:sz w:val="16"/>
              </w:rPr>
            </w:r>
          </w:p>
        </w:tc>
        <w:tc>
          <w:tcPr>
            <w:tcW w:type="dxa" w:w="8352"/>
            <w:vAlign w:val="center"/>
            <w:shd w:fill="F4F7F9"/>
          </w:tcPr>
          <w:p>
            <w:r>
              <w:t>05/08/2026</w:t>
            </w:r>
            <w:r>
              <w:rPr>
                <w:b w:val="0"/>
                <w:sz w:val="16"/>
              </w:rPr>
            </w:r>
          </w:p>
        </w:tc>
      </w:tr>
    </w:tbl>
    <w:p/>
    <w:p>
      <w:pPr>
        <w:pStyle w:val="KMGSection"/>
      </w:pPr>
      <w:r>
        <w:t>B. CONTROLE EVID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62"/>
        <w:gridCol w:w="1762"/>
        <w:gridCol w:w="1762"/>
        <w:gridCol w:w="1762"/>
        <w:gridCol w:w="1762"/>
        <w:gridCol w:w="1762"/>
      </w:tblGrid>
      <w:tr>
        <w:tc>
          <w:tcPr>
            <w:tcW w:type="dxa" w:w="1152"/>
            <w:vAlign w:val="center"/>
            <w:shd w:fill="173B67"/>
          </w:tcPr>
          <w:p>
            <w:r/>
            <w:r>
              <w:rPr>
                <w:b/>
                <w:color w:val="FFFFFF"/>
                <w:sz w:val="17"/>
              </w:rPr>
              <w:t>Código</w:t>
            </w:r>
          </w:p>
        </w:tc>
        <w:tc>
          <w:tcPr>
            <w:tcW w:type="dxa" w:w="2880"/>
            <w:vAlign w:val="center"/>
            <w:shd w:fill="173B67"/>
          </w:tcPr>
          <w:p>
            <w:r/>
            <w:r>
              <w:rPr>
                <w:b/>
                <w:color w:val="FFFFFF"/>
                <w:sz w:val="17"/>
              </w:rPr>
              <w:t>Descrição</w:t>
            </w:r>
          </w:p>
        </w:tc>
        <w:tc>
          <w:tcPr>
            <w:tcW w:type="dxa" w:w="1296"/>
            <w:vAlign w:val="center"/>
            <w:shd w:fill="173B67"/>
          </w:tcPr>
          <w:p>
            <w:r/>
            <w:r>
              <w:rPr>
                <w:b/>
                <w:color w:val="FFFFFF"/>
                <w:sz w:val="17"/>
              </w:rPr>
              <w:t>Situação</w:t>
            </w:r>
          </w:p>
        </w:tc>
        <w:tc>
          <w:tcPr>
            <w:tcW w:type="dxa" w:w="1440"/>
            <w:vAlign w:val="center"/>
            <w:shd w:fill="173B67"/>
          </w:tcPr>
          <w:p>
            <w:r/>
            <w:r>
              <w:rPr>
                <w:b/>
                <w:color w:val="FFFFFF"/>
                <w:sz w:val="17"/>
              </w:rPr>
              <w:t>Confiabilidade</w:t>
            </w:r>
          </w:p>
        </w:tc>
        <w:tc>
          <w:tcPr>
            <w:tcW w:type="dxa" w:w="2448"/>
            <w:vAlign w:val="center"/>
            <w:shd w:fill="173B67"/>
          </w:tcPr>
          <w:p>
            <w:r/>
            <w:r>
              <w:rPr>
                <w:b/>
                <w:color w:val="FFFFFF"/>
                <w:sz w:val="17"/>
              </w:rPr>
              <w:t>Uso técnico</w:t>
            </w:r>
          </w:p>
        </w:tc>
        <w:tc>
          <w:tcPr>
            <w:tcW w:type="dxa" w:w="2304"/>
            <w:vAlign w:val="center"/>
            <w:shd w:fill="173B67"/>
          </w:tcPr>
          <w:p>
            <w:r/>
            <w:r>
              <w:rPr>
                <w:b/>
                <w:color w:val="FFFFFF"/>
                <w:sz w:val="17"/>
              </w:rPr>
              <w:t>Próxima ação</w:t>
            </w:r>
          </w:p>
        </w:tc>
      </w:tr>
      <w:tr>
        <w:tc>
          <w:tcPr>
            <w:tcW w:type="dxa" w:w="1152"/>
            <w:vAlign w:val="center"/>
          </w:tcPr>
          <w:p>
            <w:r/>
            <w:r>
              <w:rPr>
                <w:b w:val="0"/>
                <w:sz w:val="16"/>
              </w:rPr>
              <w:t>EVID-PER-001</w:t>
            </w:r>
          </w:p>
        </w:tc>
        <w:tc>
          <w:tcPr>
            <w:tcW w:type="dxa" w:w="2880"/>
            <w:vAlign w:val="center"/>
          </w:tcPr>
          <w:p>
            <w:r/>
            <w:r>
              <w:rPr>
                <w:b w:val="0"/>
                <w:sz w:val="16"/>
              </w:rPr>
              <w:t>Layouts do abrigo anterior e atual</w:t>
            </w:r>
          </w:p>
        </w:tc>
        <w:tc>
          <w:tcPr>
            <w:tcW w:type="dxa" w:w="1296"/>
            <w:vAlign w:val="center"/>
          </w:tcPr>
          <w:p>
            <w:r/>
            <w:r>
              <w:rPr>
                <w:b w:val="0"/>
                <w:sz w:val="16"/>
              </w:rPr>
              <w:t>Recebido</w:t>
            </w:r>
          </w:p>
        </w:tc>
        <w:tc>
          <w:tcPr>
            <w:tcW w:type="dxa" w:w="1440"/>
            <w:vAlign w:val="center"/>
          </w:tcPr>
          <w:p>
            <w:r/>
            <w:r>
              <w:rPr>
                <w:b w:val="0"/>
                <w:sz w:val="16"/>
              </w:rPr>
              <w:t>Alta</w:t>
            </w:r>
          </w:p>
        </w:tc>
        <w:tc>
          <w:tcPr>
            <w:tcW w:type="dxa" w:w="2448"/>
            <w:vAlign w:val="center"/>
          </w:tcPr>
          <w:p>
            <w:r/>
            <w:r>
              <w:rPr>
                <w:b w:val="0"/>
                <w:sz w:val="16"/>
              </w:rPr>
              <w:t>delimitar áreas e períodos</w:t>
            </w:r>
          </w:p>
        </w:tc>
        <w:tc>
          <w:tcPr>
            <w:tcW w:type="dxa" w:w="2304"/>
            <w:vAlign w:val="center"/>
          </w:tcPr>
          <w:p>
            <w:r/>
            <w:r>
              <w:rPr>
                <w:b w:val="0"/>
                <w:sz w:val="16"/>
              </w:rPr>
              <w:t>confirmar vigência</w:t>
            </w:r>
          </w:p>
        </w:tc>
      </w:tr>
      <w:tr>
        <w:tc>
          <w:tcPr>
            <w:tcW w:type="dxa" w:w="1152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EVID-PER-002</w:t>
            </w:r>
          </w:p>
        </w:tc>
        <w:tc>
          <w:tcPr>
            <w:tcW w:type="dxa" w:w="2880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Inventário de cilindros</w:t>
            </w:r>
          </w:p>
        </w:tc>
        <w:tc>
          <w:tcPr>
            <w:tcW w:type="dxa" w:w="1296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Parcial</w:t>
            </w:r>
          </w:p>
        </w:tc>
        <w:tc>
          <w:tcPr>
            <w:tcW w:type="dxa" w:w="1440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Média</w:t>
            </w:r>
          </w:p>
        </w:tc>
        <w:tc>
          <w:tcPr>
            <w:tcW w:type="dxa" w:w="2448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quantidades e temporalidade</w:t>
            </w:r>
          </w:p>
        </w:tc>
        <w:tc>
          <w:tcPr>
            <w:tcW w:type="dxa" w:w="2304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completar série</w:t>
            </w:r>
          </w:p>
        </w:tc>
      </w:tr>
      <w:tr>
        <w:tc>
          <w:tcPr>
            <w:tcW w:type="dxa" w:w="1152"/>
            <w:vAlign w:val="center"/>
          </w:tcPr>
          <w:p>
            <w:r/>
            <w:r>
              <w:rPr>
                <w:b w:val="0"/>
                <w:sz w:val="16"/>
              </w:rPr>
              <w:t>EVID-PER-003</w:t>
            </w:r>
          </w:p>
        </w:tc>
        <w:tc>
          <w:tcPr>
            <w:tcW w:type="dxa" w:w="2880"/>
            <w:vAlign w:val="center"/>
          </w:tcPr>
          <w:p>
            <w:r/>
            <w:r>
              <w:rPr>
                <w:b w:val="0"/>
                <w:sz w:val="16"/>
              </w:rPr>
              <w:t>Procedimento de troca</w:t>
            </w:r>
          </w:p>
        </w:tc>
        <w:tc>
          <w:tcPr>
            <w:tcW w:type="dxa" w:w="1296"/>
            <w:vAlign w:val="center"/>
          </w:tcPr>
          <w:p>
            <w:r/>
            <w:r>
              <w:rPr>
                <w:b w:val="0"/>
                <w:sz w:val="16"/>
              </w:rPr>
              <w:t>Recebido</w:t>
            </w:r>
          </w:p>
        </w:tc>
        <w:tc>
          <w:tcPr>
            <w:tcW w:type="dxa" w:w="1440"/>
            <w:vAlign w:val="center"/>
          </w:tcPr>
          <w:p>
            <w:r/>
            <w:r>
              <w:rPr>
                <w:b w:val="0"/>
                <w:sz w:val="16"/>
              </w:rPr>
              <w:t>Alta</w:t>
            </w:r>
          </w:p>
        </w:tc>
        <w:tc>
          <w:tcPr>
            <w:tcW w:type="dxa" w:w="2448"/>
            <w:vAlign w:val="center"/>
          </w:tcPr>
          <w:p>
            <w:r/>
            <w:r>
              <w:rPr>
                <w:b w:val="0"/>
                <w:sz w:val="16"/>
              </w:rPr>
              <w:t>atividade prescrita</w:t>
            </w:r>
          </w:p>
        </w:tc>
        <w:tc>
          <w:tcPr>
            <w:tcW w:type="dxa" w:w="2304"/>
            <w:vAlign w:val="center"/>
          </w:tcPr>
          <w:p>
            <w:r/>
            <w:r>
              <w:rPr>
                <w:b w:val="0"/>
                <w:sz w:val="16"/>
              </w:rPr>
              <w:t>cruzar com prática registrada</w:t>
            </w:r>
          </w:p>
        </w:tc>
      </w:tr>
      <w:tr>
        <w:tc>
          <w:tcPr>
            <w:tcW w:type="dxa" w:w="1152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EVID-PER-004</w:t>
            </w:r>
          </w:p>
        </w:tc>
        <w:tc>
          <w:tcPr>
            <w:tcW w:type="dxa" w:w="2880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Registro do evento com odor</w:t>
            </w:r>
          </w:p>
        </w:tc>
        <w:tc>
          <w:tcPr>
            <w:tcW w:type="dxa" w:w="1296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Recebido</w:t>
            </w:r>
          </w:p>
        </w:tc>
        <w:tc>
          <w:tcPr>
            <w:tcW w:type="dxa" w:w="1440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Média</w:t>
            </w:r>
          </w:p>
        </w:tc>
        <w:tc>
          <w:tcPr>
            <w:tcW w:type="dxa" w:w="2448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interrupção e segregação</w:t>
            </w:r>
          </w:p>
        </w:tc>
        <w:tc>
          <w:tcPr>
            <w:tcW w:type="dxa" w:w="2304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preservar sem extrapolar</w:t>
            </w:r>
          </w:p>
        </w:tc>
      </w:tr>
    </w:tbl>
    <w:p/>
    <w:p>
      <w:pPr>
        <w:pStyle w:val="KMGSection"/>
      </w:pPr>
      <w:r>
        <w:t>C. MATRIZ FATO -&gt; EVIDÊNCIA -&gt; ANÁLISE TÉCNICA -&gt; CONCLUSÃO LIMITADA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2642"/>
        <w:gridCol w:w="2642"/>
        <w:gridCol w:w="2642"/>
        <w:gridCol w:w="2642"/>
      </w:tblGrid>
      <w:tr>
        <w:tc>
          <w:tcPr>
            <w:tcW w:type="dxa" w:w="2592"/>
            <w:vAlign w:val="center"/>
            <w:shd w:fill="173B67"/>
          </w:tcPr>
          <w:p>
            <w:r/>
            <w:r>
              <w:rPr>
                <w:b/>
                <w:color w:val="FFFFFF"/>
                <w:sz w:val="17"/>
              </w:rPr>
              <w:t>Fato fictício</w:t>
            </w:r>
          </w:p>
        </w:tc>
        <w:tc>
          <w:tcPr>
            <w:tcW w:type="dxa" w:w="2592"/>
            <w:vAlign w:val="center"/>
            <w:shd w:fill="173B67"/>
          </w:tcPr>
          <w:p>
            <w:r/>
            <w:r>
              <w:rPr>
                <w:b/>
                <w:color w:val="FFFFFF"/>
                <w:sz w:val="17"/>
              </w:rPr>
              <w:t>Evidência associada</w:t>
            </w:r>
          </w:p>
        </w:tc>
        <w:tc>
          <w:tcPr>
            <w:tcW w:type="dxa" w:w="2880"/>
            <w:vAlign w:val="center"/>
            <w:shd w:fill="173B67"/>
          </w:tcPr>
          <w:p>
            <w:r/>
            <w:r>
              <w:rPr>
                <w:b/>
                <w:color w:val="FFFFFF"/>
                <w:sz w:val="17"/>
              </w:rPr>
              <w:t>Análise técnica possível</w:t>
            </w:r>
          </w:p>
        </w:tc>
        <w:tc>
          <w:tcPr>
            <w:tcW w:type="dxa" w:w="2880"/>
            <w:vAlign w:val="center"/>
            <w:shd w:fill="173B67"/>
          </w:tcPr>
          <w:p>
            <w:r/>
            <w:r>
              <w:rPr>
                <w:b/>
                <w:color w:val="FFFFFF"/>
                <w:sz w:val="17"/>
              </w:rPr>
              <w:t>Conclusão limitada</w:t>
            </w:r>
          </w:p>
        </w:tc>
      </w:tr>
      <w:tr>
        <w:tc>
          <w:tcPr>
            <w:tcW w:type="dxa" w:w="2592"/>
            <w:vAlign w:val="center"/>
          </w:tcPr>
          <w:p>
            <w:r/>
            <w:r>
              <w:rPr>
                <w:b w:val="0"/>
                <w:sz w:val="16"/>
              </w:rPr>
              <w:t>A troca foi centralizada após mudança de abrigo.</w:t>
            </w:r>
          </w:p>
        </w:tc>
        <w:tc>
          <w:tcPr>
            <w:tcW w:type="dxa" w:w="2592"/>
            <w:vAlign w:val="center"/>
          </w:tcPr>
          <w:p>
            <w:r/>
            <w:r>
              <w:rPr>
                <w:b w:val="0"/>
                <w:sz w:val="16"/>
              </w:rPr>
              <w:t>Layouts, procedimentos e cronologia.</w:t>
            </w:r>
          </w:p>
        </w:tc>
        <w:tc>
          <w:tcPr>
            <w:tcW w:type="dxa" w:w="2880"/>
            <w:vAlign w:val="center"/>
          </w:tcPr>
          <w:p>
            <w:r/>
            <w:r>
              <w:rPr>
                <w:b w:val="0"/>
                <w:sz w:val="16"/>
              </w:rPr>
              <w:t>Existem dois períodos operacionais distintos.</w:t>
            </w:r>
          </w:p>
        </w:tc>
        <w:tc>
          <w:tcPr>
            <w:tcW w:type="dxa" w:w="2880"/>
            <w:vAlign w:val="center"/>
          </w:tcPr>
          <w:p>
            <w:r/>
            <w:r>
              <w:rPr>
                <w:b w:val="0"/>
                <w:sz w:val="16"/>
              </w:rPr>
              <w:t>Não aplicar uma única configuração a todo o período.</w:t>
            </w:r>
          </w:p>
        </w:tc>
      </w:tr>
      <w:tr>
        <w:tc>
          <w:tcPr>
            <w:tcW w:type="dxa" w:w="2592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Houve percepção de odor em uma troca.</w:t>
            </w:r>
          </w:p>
        </w:tc>
        <w:tc>
          <w:tcPr>
            <w:tcW w:type="dxa" w:w="2592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Registro do evento e manutenção.</w:t>
            </w:r>
          </w:p>
        </w:tc>
        <w:tc>
          <w:tcPr>
            <w:tcW w:type="dxa" w:w="2880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O evento demonstra necessidade de controle e apuração.</w:t>
            </w:r>
          </w:p>
        </w:tc>
        <w:tc>
          <w:tcPr>
            <w:tcW w:type="dxa" w:w="2880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Não caracteriza periculosidade, frequência ou área de risco.</w:t>
            </w:r>
          </w:p>
        </w:tc>
      </w:tr>
    </w:tbl>
    <w:p/>
    <w:p>
      <w:pPr>
        <w:pStyle w:val="KMGSection"/>
      </w:pPr>
      <w:r>
        <w:t>D. VALIDAÇÃO NORMATIVA DIRIGIDA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2642"/>
        <w:gridCol w:w="2642"/>
        <w:gridCol w:w="2642"/>
        <w:gridCol w:w="2642"/>
      </w:tblGrid>
      <w:tr>
        <w:tc>
          <w:tcPr>
            <w:tcW w:type="dxa" w:w="1584"/>
            <w:vAlign w:val="center"/>
            <w:shd w:fill="173B67"/>
          </w:tcPr>
          <w:p>
            <w:r/>
            <w:r>
              <w:rPr>
                <w:b/>
                <w:color w:val="FFFFFF"/>
                <w:sz w:val="17"/>
              </w:rPr>
              <w:t>NR/Tema</w:t>
            </w:r>
          </w:p>
        </w:tc>
        <w:tc>
          <w:tcPr>
            <w:tcW w:type="dxa" w:w="2448"/>
            <w:vAlign w:val="center"/>
            <w:shd w:fill="173B67"/>
          </w:tcPr>
          <w:p>
            <w:r/>
            <w:r>
              <w:rPr>
                <w:b/>
                <w:color w:val="FFFFFF"/>
                <w:sz w:val="17"/>
              </w:rPr>
              <w:t>Status do controle</w:t>
            </w:r>
          </w:p>
        </w:tc>
        <w:tc>
          <w:tcPr>
            <w:tcW w:type="dxa" w:w="3312"/>
            <w:vAlign w:val="center"/>
            <w:shd w:fill="173B67"/>
          </w:tcPr>
          <w:p>
            <w:r/>
            <w:r>
              <w:rPr>
                <w:b/>
                <w:color w:val="FFFFFF"/>
                <w:sz w:val="17"/>
              </w:rPr>
              <w:t>Impacto no caso</w:t>
            </w:r>
          </w:p>
        </w:tc>
        <w:tc>
          <w:tcPr>
            <w:tcW w:type="dxa" w:w="3600"/>
            <w:vAlign w:val="center"/>
            <w:shd w:fill="173B67"/>
          </w:tcPr>
          <w:p>
            <w:r/>
            <w:r>
              <w:rPr>
                <w:b/>
                <w:color w:val="FFFFFF"/>
                <w:sz w:val="17"/>
              </w:rPr>
              <w:t>Ação antes do uso real</w:t>
            </w:r>
          </w:p>
        </w:tc>
      </w:tr>
      <w:tr>
        <w:tc>
          <w:tcPr>
            <w:tcW w:type="dxa" w:w="1584"/>
            <w:vAlign w:val="center"/>
          </w:tcPr>
          <w:p>
            <w:r/>
            <w:r>
              <w:rPr>
                <w:b w:val="0"/>
                <w:sz w:val="16"/>
              </w:rPr>
              <w:t>NR-16</w:t>
            </w:r>
          </w:p>
        </w:tc>
        <w:tc>
          <w:tcPr>
            <w:tcW w:type="dxa" w:w="2448"/>
            <w:vAlign w:val="center"/>
          </w:tcPr>
          <w:p>
            <w:r/>
            <w:r>
              <w:rPr>
                <w:b w:val="0"/>
                <w:sz w:val="16"/>
              </w:rPr>
              <w:t>Conferência externa obrigatória</w:t>
            </w:r>
          </w:p>
        </w:tc>
        <w:tc>
          <w:tcPr>
            <w:tcW w:type="dxa" w:w="3312"/>
            <w:vAlign w:val="center"/>
          </w:tcPr>
          <w:p>
            <w:r/>
            <w:r>
              <w:rPr>
                <w:b w:val="0"/>
                <w:sz w:val="16"/>
              </w:rPr>
              <w:t>atividades e operações perigosas</w:t>
            </w:r>
          </w:p>
        </w:tc>
        <w:tc>
          <w:tcPr>
            <w:tcW w:type="dxa" w:w="3600"/>
            <w:vAlign w:val="center"/>
          </w:tcPr>
          <w:p>
            <w:r/>
            <w:r>
              <w:rPr>
                <w:b w:val="0"/>
                <w:sz w:val="16"/>
              </w:rPr>
              <w:t>verificar anexos e enquadramento vigente</w:t>
            </w:r>
          </w:p>
        </w:tc>
      </w:tr>
      <w:tr>
        <w:tc>
          <w:tcPr>
            <w:tcW w:type="dxa" w:w="1584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NR-20</w:t>
            </w:r>
          </w:p>
        </w:tc>
        <w:tc>
          <w:tcPr>
            <w:tcW w:type="dxa" w:w="2448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Conferência externa obrigatória</w:t>
            </w:r>
          </w:p>
        </w:tc>
        <w:tc>
          <w:tcPr>
            <w:tcW w:type="dxa" w:w="3312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gestão de inflamáveis e combustíveis</w:t>
            </w:r>
          </w:p>
        </w:tc>
        <w:tc>
          <w:tcPr>
            <w:tcW w:type="dxa" w:w="3600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relacionar instalação, atividade e controles</w:t>
            </w:r>
          </w:p>
        </w:tc>
      </w:tr>
      <w:tr>
        <w:tc>
          <w:tcPr>
            <w:tcW w:type="dxa" w:w="1584"/>
            <w:vAlign w:val="center"/>
          </w:tcPr>
          <w:p>
            <w:r/>
            <w:r>
              <w:rPr>
                <w:b w:val="0"/>
                <w:sz w:val="16"/>
              </w:rPr>
              <w:t>NR-11</w:t>
            </w:r>
          </w:p>
        </w:tc>
        <w:tc>
          <w:tcPr>
            <w:tcW w:type="dxa" w:w="2448"/>
            <w:vAlign w:val="center"/>
          </w:tcPr>
          <w:p>
            <w:r/>
            <w:r>
              <w:rPr>
                <w:b w:val="0"/>
                <w:sz w:val="16"/>
              </w:rPr>
              <w:t>Correlata</w:t>
            </w:r>
          </w:p>
        </w:tc>
        <w:tc>
          <w:tcPr>
            <w:tcW w:type="dxa" w:w="3312"/>
            <w:vAlign w:val="center"/>
          </w:tcPr>
          <w:p>
            <w:r/>
            <w:r>
              <w:rPr>
                <w:b w:val="0"/>
                <w:sz w:val="16"/>
              </w:rPr>
              <w:t>empilhadeiras e movimentação</w:t>
            </w:r>
          </w:p>
        </w:tc>
        <w:tc>
          <w:tcPr>
            <w:tcW w:type="dxa" w:w="3600"/>
            <w:vAlign w:val="center"/>
          </w:tcPr>
          <w:p>
            <w:r/>
            <w:r>
              <w:rPr>
                <w:b w:val="0"/>
                <w:sz w:val="16"/>
              </w:rPr>
              <w:t>verificar operação e capacitação</w:t>
            </w:r>
          </w:p>
        </w:tc>
      </w:tr>
      <w:tr>
        <w:tc>
          <w:tcPr>
            <w:tcW w:type="dxa" w:w="1584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NR-01</w:t>
            </w:r>
          </w:p>
        </w:tc>
        <w:tc>
          <w:tcPr>
            <w:tcW w:type="dxa" w:w="2448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Correlata</w:t>
            </w:r>
          </w:p>
        </w:tc>
        <w:tc>
          <w:tcPr>
            <w:tcW w:type="dxa" w:w="3312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GRO/PGR</w:t>
            </w:r>
          </w:p>
        </w:tc>
        <w:tc>
          <w:tcPr>
            <w:tcW w:type="dxa" w:w="3600"/>
            <w:vAlign w:val="center"/>
            <w:shd w:fill="F4F7F9"/>
          </w:tcPr>
          <w:p>
            <w:r/>
            <w:r>
              <w:rPr>
                <w:b w:val="0"/>
                <w:sz w:val="16"/>
              </w:rPr>
              <w:t>vincular ao contexto real</w:t>
            </w:r>
          </w:p>
        </w:tc>
      </w:tr>
    </w:tbl>
    <w:p/>
    <w:p>
      <w:pPr>
        <w:pStyle w:val="KMGNote"/>
      </w:pPr>
      <w:r>
        <w:t>Ressalva normativa: verificação interna realizada com base na Fontes de referência e no controle normativo indicado. Antes de protocolo, treinamento, consultoria, conclusão definitiva ou aplicação em caso real, confirmar o texto vigente no portal oficial do Ministério do Trabalho e Emprego e nas demais fontes técnicas aplicáveis.</w:t>
      </w:r>
    </w:p>
    <w:p>
      <w:pPr>
        <w:pStyle w:val="KMGSection"/>
      </w:pPr>
      <w:r>
        <w:t>E. LGPD, SIGILO E BLOQUEIO DE MÉRITO</w:t>
      </w:r>
    </w:p>
    <w:p>
      <w:pPr>
        <w:pStyle w:val="ListBullet"/>
      </w:pPr>
      <w:r>
        <w:t>Tratar apenas dados necessários à finalidade técnica; anonimizar exemplos e restringir dados pessoais, de saúde, comerciais ou estratégicos.</w:t>
      </w:r>
    </w:p>
    <w:p>
      <w:pPr>
        <w:pStyle w:val="ListBullet"/>
      </w:pPr>
      <w:r>
        <w:t>Preservar originais, registrar cópias de trabalho, versão, origem, data, responsável e restrição de acesso.</w:t>
      </w:r>
    </w:p>
    <w:p>
      <w:pPr>
        <w:pStyle w:val="ListBullet"/>
      </w:pPr>
      <w:r>
        <w:t>Não preencher lacunas por suposição, estimativa ou cálculo não verificado.</w:t>
      </w:r>
    </w:p>
    <w:p>
      <w:pPr>
        <w:pStyle w:val="ListBullet"/>
      </w:pPr>
      <w:r>
        <w:t>Não concluir adicional, habitualidade, intermitência, área de risco ou enquadramento jurídico sem dados de atividade, frequência, local, quantidade e critérios vigentes.</w:t>
      </w:r>
    </w:p>
    <w:p>
      <w:pPr>
        <w:pStyle w:val="ListBullet"/>
      </w:pPr>
      <w:r>
        <w:t>O gate deve ser classificado como APROVADO, APROVADO COM RESSALVAS, REVISAR ou REPROVADO e precisa de validação formal do responsável técnico.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0570"/>
      </w:tblGrid>
      <w:tr>
        <w:tc>
          <w:tcPr>
            <w:tcW w:type="dxa" w:w="10570"/>
            <w:shd w:fill="EAF5ED"/>
            <w:vAlign w:val="center"/>
          </w:tcPr>
          <w:p>
            <w:r>
              <w:t>As ilustrações são didáticas, sem escala e devem ser confrontadas com as evidências do caso real.</w:t>
            </w:r>
          </w:p>
        </w:tc>
      </w:tr>
    </w:tbl>
    <w:p/>
    <w:sectPr>
      <w:headerReference w:type="default" r:id="rId9"/>
      <w:footerReference w:type="default" r:id="rId10"/>
      <w:headerReference w:type="first" r:id="rId15"/>
      <w:footerReference w:type="first" r:id="rId16"/>
      <w:headerReference w:type="even" r:id="rId17"/>
      <w:footerReference w:type="even" r:id="rId18"/>
      <w:pgSz w:w="12240" w:h="15840"/>
      <w:pgMar w:top="720" w:right="835" w:bottom="720" w:left="835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sz w:val="14"/>
      </w:rPr>
      <w:t>KIT-001 v2.6 | PER-003 | Emissão 05/08/2026 | Material de apoio técnico</w:t>
    </w:r>
  </w:p>
</w:ftr>
</file>

<file path=word/footer2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sz w:val="14"/>
      </w:rPr>
      <w:t>KIT-001 v2.6 | PER-003 | Emissão 05/08/2026 | Material de apoio técnico</w:t>
    </w:r>
  </w:p>
</w:ftr>
</file>

<file path=word/footer3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sz w:val="14"/>
      </w:rPr>
      <w:t>KIT-001 v2.6 | PER-003 | Emissão 05/08/2026 | Material de apoio técnico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  <w:r>
      <w:rPr>
        <w:color w:val="667482"/>
        <w:sz w:val="13"/>
      </w:rPr>
      <w:t>KMG ENGINEERING INTELLIGENCE | PER-003</w:t>
    </w:r>
  </w:p>
</w:hdr>
</file>

<file path=word/header2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header3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pPr>
      <w:spacing w:after="80"/>
    </w:pPr>
    <w:rPr>
      <w:rFonts w:ascii="Aptos" w:hAnsi="Aptos"/>
      <w:color w:val="24384B"/>
      <w:sz w:val="17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120" w:after="80"/>
      <w:outlineLvl w:val="0"/>
    </w:pPr>
    <w:rPr>
      <w:rFonts w:asciiTheme="majorHAnsi" w:eastAsiaTheme="majorEastAsia" w:hAnsiTheme="majorHAnsi" w:cstheme="majorBidi" w:ascii="Aptos" w:hAnsi="Aptos"/>
      <w:b/>
      <w:bCs/>
      <w:color w:val="12365F"/>
      <w:sz w:val="29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Aptos" w:hAnsi="Aptos"/>
      <w:b/>
      <w:bCs/>
      <w:color w:val="17365D"/>
      <w:sz w:val="22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Aptos" w:hAnsi="Aptos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120" w:line="240" w:lineRule="auto"/>
      <w:contextualSpacing/>
    </w:pPr>
    <w:rPr>
      <w:rFonts w:asciiTheme="majorHAnsi" w:eastAsiaTheme="majorEastAsia" w:hAnsiTheme="majorHAnsi" w:cstheme="majorBidi" w:ascii="Aptos" w:hAnsi="Aptos"/>
      <w:b/>
      <w:color w:val="12365F"/>
      <w:spacing w:val="5"/>
      <w:kern w:val="28"/>
      <w:sz w:val="46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KMGEyebrow">
    <w:name w:val="KMG Eyebrow"/>
    <w:rPr>
      <w:rFonts w:ascii="Aptos" w:hAnsi="Aptos"/>
      <w:b/>
      <w:color w:val="667482"/>
      <w:sz w:val="15"/>
    </w:rPr>
  </w:style>
  <w:style w:type="paragraph" w:customStyle="1" w:styleId="KMGQuote">
    <w:name w:val="KMG Quote"/>
    <w:pPr>
      <w:spacing w:before="80" w:after="120"/>
      <w:ind w:left="259" w:right="259"/>
    </w:pPr>
    <w:rPr>
      <w:rFonts w:ascii="Aptos Display" w:hAnsi="Aptos Display"/>
      <w:b/>
      <w:color w:val="12365F"/>
      <w:sz w:val="23"/>
    </w:rPr>
  </w:style>
  <w:style w:type="paragraph" w:customStyle="1" w:styleId="KMGNote">
    <w:name w:val="KMG Note"/>
    <w:pPr>
      <w:ind w:left="230"/>
    </w:pPr>
    <w:rPr>
      <w:rFonts w:ascii="Aptos" w:hAnsi="Aptos"/>
      <w:i/>
      <w:color w:val="667482"/>
      <w:sz w:val="16"/>
    </w:rPr>
  </w:style>
  <w:style w:type="paragraph" w:customStyle="1" w:styleId="KMGAppendixTitle">
    <w:name w:val="KMG Appendix Title"/>
    <w:pPr>
      <w:spacing w:before="160" w:after="160"/>
    </w:pPr>
    <w:rPr>
      <w:rFonts w:ascii="Aptos Display" w:hAnsi="Aptos Display"/>
      <w:b/>
      <w:color w:val="173B67"/>
      <w:sz w:val="36"/>
    </w:rPr>
  </w:style>
  <w:style w:type="paragraph" w:customStyle="1" w:styleId="KMGSection">
    <w:name w:val="KMG Section"/>
    <w:pPr>
      <w:spacing w:before="160" w:after="100"/>
    </w:pPr>
    <w:rPr>
      <w:rFonts w:ascii="Aptos Display" w:hAnsi="Aptos Display"/>
      <w:b/>
      <w:color w:val="173B67"/>
      <w:sz w:val="26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footer" Target="footer1.xml"/><Relationship Id="rId11" Type="http://schemas.openxmlformats.org/officeDocument/2006/relationships/image" Target="media/image1.png"/><Relationship Id="rId12" Type="http://schemas.openxmlformats.org/officeDocument/2006/relationships/image" Target="media/image2.png"/><Relationship Id="rId13" Type="http://schemas.openxmlformats.org/officeDocument/2006/relationships/image" Target="media/image3.png"/><Relationship Id="rId14" Type="http://schemas.openxmlformats.org/officeDocument/2006/relationships/image" Target="media/image4.png"/><Relationship Id="rId15" Type="http://schemas.openxmlformats.org/officeDocument/2006/relationships/header" Target="header2.xml"/><Relationship Id="rId16" Type="http://schemas.openxmlformats.org/officeDocument/2006/relationships/footer" Target="footer2.xml"/><Relationship Id="rId17" Type="http://schemas.openxmlformats.org/officeDocument/2006/relationships/header" Target="header3.xml"/><Relationship Id="rId18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:title>PER-003 Caso Ficticio Periculosidade GLP v2.6</dc:title>
  <dc:subject>KIT-001 - Preparação Documental e Estruturação Técnica</dc:subject>
  <dc:creator>KMG Engineering Intelligence</dc:creator>
  <cp:keywords>KMG; KIT-001; engenharia; organização documental; rastreabilidade</cp:keywords>
  <dc:description/>
  <cp:lastModifiedBy>KMG Engineering Intelligence</cp:lastModifiedBy>
  <cp:revision>1</cp:revision>
  <dcterms:created xsi:type="dcterms:W3CDTF">2026-08-05T14:52:00Z</dcterms:created>
  <dcterms:modified xsi:type="dcterms:W3CDTF">2026-08-05T13:43:00Z</dcterms:modified>
  <cp:category>Material profissional</cp:category>
  <cp:version>2.6</cp:version>
</cp:coreProperties>
</file>