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MGAppendixTitle"/>
      </w:pPr>
      <w:r>
        <w:t>PER-003 - TEMPLATE EDITÁVEL</w:t>
      </w:r>
    </w:p>
    <w:p>
      <w:pPr>
        <w:pStyle w:val="Title"/>
      </w:pPr>
      <w:r>
        <w:t>Periculosidade - GLP em empilhadeiras</w:t>
      </w:r>
    </w:p>
    <w:p>
      <w:r>
        <w:t>Modelo em branco para organização documental, evidências e gate. Não substitui análise técnica, vistoria, medição, laudo, parecer, ART ou consulta jurídica.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FF4D6"/>
            <w:vAlign w:val="center"/>
          </w:tcPr>
          <w:p>
            <w:r/>
            <w:r>
              <w:rPr>
                <w:b/>
                <w:color w:val="173B67"/>
                <w:sz w:val="18"/>
              </w:rPr>
              <w:t>Preencha somente com informações verificáveis. Quando um campo não puder ser confirmado, registre a pendência e bloqueie a conclusão de mérito.</w:t>
            </w:r>
          </w:p>
        </w:tc>
      </w:tr>
    </w:tbl>
    <w:p/>
    <w:p>
      <w:pPr>
        <w:pStyle w:val="KMGSection"/>
      </w:pPr>
      <w:r>
        <w:t>1. STATUS DO CASO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Campo</w:t>
            </w:r>
          </w:p>
        </w:tc>
        <w:tc>
          <w:tcPr>
            <w:tcW w:type="dxa" w:w="5112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Preenchimento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Tipo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[tipo de demanda]</w:t>
            </w:r>
          </w:p>
        </w:tc>
      </w:tr>
      <w:tr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Papel processual</w:t>
            </w:r>
          </w:p>
        </w:tc>
        <w:tc>
          <w:tcPr>
            <w:tcW w:type="dxa" w:w="5112"/>
            <w:vAlign w:val="center"/>
            <w:shd w:fill="F4F7F9"/>
          </w:tcPr>
          <w:p>
            <w:r>
              <w:t>[consultoria / assistência técnica / perícia / gestão documental]</w:t>
            </w:r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Fase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[fase atual]</w:t>
            </w:r>
          </w:p>
        </w:tc>
      </w:tr>
      <w:tr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Etapa atual</w:t>
            </w:r>
          </w:p>
        </w:tc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[triagem / organização / análise / revisão]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Documentos recebidos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[quantidade e grupos]</w:t>
            </w:r>
          </w:p>
        </w:tc>
      </w:tr>
      <w:tr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Pendências</w:t>
            </w:r>
          </w:p>
        </w:tc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[resumo]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Normas/temas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[indicar]</w:t>
            </w:r>
          </w:p>
        </w:tc>
      </w:tr>
      <w:tr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Próximo documento</w:t>
            </w:r>
          </w:p>
        </w:tc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[indicar]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Evolução estimada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[0%-100%]</w:t>
            </w:r>
          </w:p>
        </w:tc>
      </w:tr>
    </w:tbl>
    <w:p/>
    <w:p>
      <w:pPr>
        <w:pStyle w:val="KMGSection"/>
      </w:pPr>
      <w:r>
        <w:t>2. CONTROLE EVID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04"/>
        <w:gridCol w:w="1704"/>
        <w:gridCol w:w="1704"/>
        <w:gridCol w:w="1704"/>
        <w:gridCol w:w="1704"/>
        <w:gridCol w:w="1704"/>
      </w:tblGrid>
      <w:tr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Código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Descrição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Situação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Confiabilidade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Uso técnico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Próxima ação</w:t>
            </w:r>
          </w:p>
        </w:tc>
      </w:tr>
      <w:tr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EVID-001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[documento/registro]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[recebido/pendente]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[alta/média/baixa]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[finalidade]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[ação]</w:t>
            </w:r>
          </w:p>
        </w:tc>
      </w:tr>
      <w:tr>
        <w:tc>
          <w:tcPr>
            <w:tcW w:type="dxa" w:w="17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EVID-002</w:t>
            </w:r>
          </w:p>
        </w:tc>
        <w:tc>
          <w:tcPr>
            <w:tcW w:type="dxa" w:w="17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[documento/registro]</w:t>
            </w:r>
          </w:p>
        </w:tc>
        <w:tc>
          <w:tcPr>
            <w:tcW w:type="dxa" w:w="17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[recebido/pendente]</w:t>
            </w:r>
          </w:p>
        </w:tc>
        <w:tc>
          <w:tcPr>
            <w:tcW w:type="dxa" w:w="17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[alta/média/baixa]</w:t>
            </w:r>
          </w:p>
        </w:tc>
        <w:tc>
          <w:tcPr>
            <w:tcW w:type="dxa" w:w="17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[finalidade]</w:t>
            </w:r>
          </w:p>
        </w:tc>
        <w:tc>
          <w:tcPr>
            <w:tcW w:type="dxa" w:w="17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[ação]</w:t>
            </w:r>
          </w:p>
        </w:tc>
      </w:tr>
    </w:tbl>
    <w:p/>
    <w:p>
      <w:pPr>
        <w:pStyle w:val="KMGSection"/>
      </w:pPr>
      <w:r>
        <w:t>3. MATRIZ F-E-A-C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Fato</w:t>
            </w:r>
          </w:p>
        </w:tc>
        <w:tc>
          <w:tcPr>
            <w:tcW w:type="dxa" w:w="2556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Evidência</w:t>
            </w:r>
          </w:p>
        </w:tc>
        <w:tc>
          <w:tcPr>
            <w:tcW w:type="dxa" w:w="2556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Análise técnica</w:t>
            </w:r>
          </w:p>
        </w:tc>
        <w:tc>
          <w:tcPr>
            <w:tcW w:type="dxa" w:w="2556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Conclusão limitada</w:t>
            </w:r>
          </w:p>
        </w:tc>
      </w:tr>
      <w:tr>
        <w:tc>
          <w:tcPr>
            <w:tcW w:type="dxa" w:w="2556"/>
            <w:vAlign w:val="center"/>
          </w:tcPr>
          <w:p>
            <w:r/>
            <w:r>
              <w:rPr>
                <w:b w:val="0"/>
                <w:sz w:val="16"/>
              </w:rPr>
              <w:t>[fato 1]</w:t>
            </w:r>
          </w:p>
        </w:tc>
        <w:tc>
          <w:tcPr>
            <w:tcW w:type="dxa" w:w="2556"/>
            <w:vAlign w:val="center"/>
          </w:tcPr>
          <w:p>
            <w:r/>
            <w:r>
              <w:rPr>
                <w:b w:val="0"/>
                <w:sz w:val="16"/>
              </w:rPr>
              <w:t>[fonte]</w:t>
            </w:r>
          </w:p>
        </w:tc>
        <w:tc>
          <w:tcPr>
            <w:tcW w:type="dxa" w:w="2556"/>
            <w:vAlign w:val="center"/>
          </w:tcPr>
          <w:p>
            <w:r/>
            <w:r>
              <w:rPr>
                <w:b w:val="0"/>
                <w:sz w:val="16"/>
              </w:rPr>
              <w:t>[o que é possível afirmar]</w:t>
            </w:r>
          </w:p>
        </w:tc>
        <w:tc>
          <w:tcPr>
            <w:tcW w:type="dxa" w:w="2556"/>
            <w:vAlign w:val="center"/>
          </w:tcPr>
          <w:p>
            <w:r/>
            <w:r>
              <w:rPr>
                <w:b w:val="0"/>
                <w:sz w:val="16"/>
              </w:rPr>
              <w:t>[limite/ressalva]</w:t>
            </w:r>
          </w:p>
        </w:tc>
      </w:tr>
      <w:tr>
        <w:tc>
          <w:tcPr>
            <w:tcW w:type="dxa" w:w="2556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[fato 2]</w:t>
            </w:r>
          </w:p>
        </w:tc>
        <w:tc>
          <w:tcPr>
            <w:tcW w:type="dxa" w:w="2556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[fonte]</w:t>
            </w:r>
          </w:p>
        </w:tc>
        <w:tc>
          <w:tcPr>
            <w:tcW w:type="dxa" w:w="2556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[o que é possível afirmar]</w:t>
            </w:r>
          </w:p>
        </w:tc>
        <w:tc>
          <w:tcPr>
            <w:tcW w:type="dxa" w:w="2556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[limite/ressalva]</w:t>
            </w:r>
          </w:p>
        </w:tc>
      </w:tr>
    </w:tbl>
    <w:p/>
    <w:p>
      <w:pPr>
        <w:pStyle w:val="KMGSection"/>
      </w:pPr>
      <w:r>
        <w:t>4. VALIDAÇÃO NORMATIVA DIRIGIDA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45"/>
        <w:gridCol w:w="2045"/>
        <w:gridCol w:w="2045"/>
        <w:gridCol w:w="2045"/>
        <w:gridCol w:w="2045"/>
      </w:tblGrid>
      <w:tr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NR/Tema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Fonte oficial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Status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Impacto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Ação</w:t>
            </w:r>
          </w:p>
        </w:tc>
      </w:tr>
      <w:tr>
        <w:tc>
          <w:tcPr>
            <w:tcW w:type="dxa" w:w="2045"/>
            <w:vAlign w:val="center"/>
          </w:tcPr>
          <w:p>
            <w:r/>
            <w:r>
              <w:rPr>
                <w:b w:val="0"/>
                <w:sz w:val="16"/>
              </w:rPr>
              <w:t>[NR/Tema]</w:t>
            </w:r>
          </w:p>
        </w:tc>
        <w:tc>
          <w:tcPr>
            <w:tcW w:type="dxa" w:w="2045"/>
            <w:vAlign w:val="center"/>
          </w:tcPr>
          <w:p>
            <w:r/>
            <w:r>
              <w:rPr>
                <w:b w:val="0"/>
                <w:sz w:val="16"/>
              </w:rPr>
              <w:t>Portal MTE / fonte aplicável</w:t>
            </w:r>
          </w:p>
        </w:tc>
        <w:tc>
          <w:tcPr>
            <w:tcW w:type="dxa" w:w="2045"/>
            <w:vAlign w:val="center"/>
          </w:tcPr>
          <w:p>
            <w:r/>
            <w:r>
              <w:rPr>
                <w:b w:val="0"/>
                <w:sz w:val="16"/>
              </w:rPr>
              <w:t>[conferido/pendente]</w:t>
            </w:r>
          </w:p>
        </w:tc>
        <w:tc>
          <w:tcPr>
            <w:tcW w:type="dxa" w:w="2045"/>
            <w:vAlign w:val="center"/>
          </w:tcPr>
          <w:p>
            <w:r/>
            <w:r>
              <w:rPr>
                <w:b w:val="0"/>
                <w:sz w:val="16"/>
              </w:rPr>
              <w:t>[impacto]</w:t>
            </w:r>
          </w:p>
        </w:tc>
        <w:tc>
          <w:tcPr>
            <w:tcW w:type="dxa" w:w="2045"/>
            <w:vAlign w:val="center"/>
          </w:tcPr>
          <w:p>
            <w:r/>
            <w:r>
              <w:rPr>
                <w:b w:val="0"/>
                <w:sz w:val="16"/>
              </w:rPr>
              <w:t>[ação antes de concluir]</w:t>
            </w:r>
          </w:p>
        </w:tc>
      </w:tr>
    </w:tbl>
    <w:p/>
    <w:p>
      <w:pPr>
        <w:pStyle w:val="KMGSection"/>
      </w:pPr>
      <w:r>
        <w:t>5. PENDÊNCIAS E GATE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04"/>
        <w:gridCol w:w="1704"/>
        <w:gridCol w:w="1704"/>
        <w:gridCol w:w="1704"/>
        <w:gridCol w:w="1704"/>
        <w:gridCol w:w="1704"/>
      </w:tblGrid>
      <w:tr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ID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Pendência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Prioridade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Responsável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Prazo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Status</w:t>
            </w:r>
          </w:p>
        </w:tc>
      </w:tr>
      <w:tr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P-001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[ação]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[alta/média/baixa]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[responsável]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[prazo]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[aberta/em andamento/concluída]</w:t>
            </w:r>
          </w:p>
        </w:tc>
      </w:tr>
    </w:tbl>
    <w:p/>
    <w:p>
      <w:pPr>
        <w:pStyle w:val="KMGSection"/>
      </w:pPr>
      <w:r>
        <w:t>6. BLOQUEIO DE MÉRITO</w:t>
      </w:r>
    </w:p>
    <w:p>
      <w:pPr>
        <w:pStyle w:val="ListBullet"/>
      </w:pPr>
      <w:r>
        <w:t>Não concluir causa, responsabilidade, conformidade, adicional, dano ou mérito sem base suficiente.</w:t>
      </w:r>
    </w:p>
    <w:p>
      <w:pPr>
        <w:pStyle w:val="ListBullet"/>
      </w:pPr>
      <w:r>
        <w:t>Registrar limitações e hipóteses de forma separada dos fatos.</w:t>
      </w:r>
    </w:p>
    <w:p>
      <w:pPr>
        <w:pStyle w:val="ListBullet"/>
      </w:pPr>
      <w:r>
        <w:t>Submeter a saída final à revisão técnica e às atribuições profissionais aplicáveis.</w:t>
      </w:r>
    </w:p>
    <w:p>
      <w:pPr>
        <w:pStyle w:val="KMGSection"/>
      </w:pPr>
      <w:r>
        <w:t>7. REGISTRO DE REVISÃO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45"/>
        <w:gridCol w:w="2045"/>
        <w:gridCol w:w="2045"/>
        <w:gridCol w:w="2045"/>
        <w:gridCol w:w="2045"/>
      </w:tblGrid>
      <w:tr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Versão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Data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Alteração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Responsável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Status</w:t>
            </w:r>
          </w:p>
        </w:tc>
      </w:tr>
      <w:tr>
        <w:tc>
          <w:tcPr>
            <w:tcW w:type="dxa" w:w="2045"/>
            <w:vAlign w:val="center"/>
          </w:tcPr>
          <w:p>
            <w:r>
              <w:t>[v01]</w:t>
            </w:r>
          </w:p>
        </w:tc>
        <w:tc>
          <w:tcPr>
            <w:tcW w:type="dxa" w:w="2045"/>
            <w:vAlign w:val="center"/>
          </w:tcPr>
          <w:p>
            <w:r>
              <w:t>[dd/mm/aaaa]</w:t>
            </w:r>
          </w:p>
        </w:tc>
        <w:tc>
          <w:tcPr>
            <w:tcW w:type="dxa" w:w="2045"/>
            <w:vAlign w:val="center"/>
          </w:tcPr>
          <w:p>
            <w:r>
              <w:t>[descrever a alteração realizada]</w:t>
            </w:r>
          </w:p>
        </w:tc>
        <w:tc>
          <w:tcPr>
            <w:tcW w:type="dxa" w:w="2045"/>
            <w:vAlign w:val="center"/>
          </w:tcPr>
          <w:p>
            <w:r>
              <w:t>[nome]</w:t>
            </w:r>
          </w:p>
        </w:tc>
        <w:tc>
          <w:tcPr>
            <w:tcW w:type="dxa" w:w="2045"/>
            <w:vAlign w:val="center"/>
          </w:tcPr>
          <w:p>
            <w:r>
              <w:t>[vigente / substituída]</w:t>
            </w:r>
          </w:p>
        </w:tc>
      </w:tr>
    </w:tbl>
    <w:p/>
    <w:sectPr>
      <w:footerReference w:type="default" r:id="rId9"/>
      <w:headerReference w:type="default" r:id="rId10"/>
      <w:headerReference w:type="first" r:id="rId11"/>
      <w:footerReference w:type="first" r:id="rId12"/>
      <w:headerReference w:type="even" r:id="rId13"/>
      <w:footerReference w:type="even" r:id="rId14"/>
      <w:pgSz w:w="12240" w:h="15840"/>
      <w:pgMar w:top="936" w:right="1008" w:bottom="93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4"/>
      </w:rPr>
      <w:t>KIT-001 v2.6 | PER-003 | Emissão 05/08/2026 | Material de apoio técnico</w:t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4"/>
      </w:rPr>
      <w:t>KIT-001 v2.6 | PER-003 | Emissão 05/08/2026 | Material de apoio técnico</w:t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4"/>
      </w:rPr>
      <w:t>KIT-001 v2.6 | PER-003 | Emissão 05/08/2026 | Material de apoio técnico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MGAppendixTitle">
    <w:name w:val="KMG Appendix Title"/>
    <w:pPr>
      <w:spacing w:before="160" w:after="160"/>
    </w:pPr>
    <w:rPr>
      <w:rFonts w:ascii="Aptos Display" w:hAnsi="Aptos Display"/>
      <w:b/>
      <w:color w:val="173B67"/>
      <w:sz w:val="36"/>
    </w:rPr>
  </w:style>
  <w:style w:type="paragraph" w:customStyle="1" w:styleId="KMGSection">
    <w:name w:val="KMG Section"/>
    <w:pPr>
      <w:spacing w:before="160" w:after="100"/>
    </w:pPr>
    <w:rPr>
      <w:rFonts w:ascii="Aptos Display" w:hAnsi="Aptos Display"/>
      <w:b/>
      <w:color w:val="173B67"/>
      <w:sz w:val="26"/>
    </w:rPr>
  </w:style>
  <w:style w:type="paragraph" w:customStyle="1" w:styleId="KMGNote">
    <w:name w:val="KMG Note"/>
    <w:pPr>
      <w:spacing w:before="60" w:after="120"/>
    </w:pPr>
    <w:rPr>
      <w:rFonts w:ascii="Aptos" w:hAnsi="Aptos"/>
      <w:color w:val="667788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PER-003 Template Caso Aplicado v2.6</dc:title>
  <dc:subject>KIT-001 - Preparação Documental e Estruturação Técnica</dc:subject>
  <dc:creator>KMG Engineering Intelligence</dc:creator>
  <cp:keywords>KMG; KIT-001; engenharia; organização documental; rastreabilidade</cp:keywords>
  <dc:description/>
  <cp:lastModifiedBy>KMG Engineering Intelligence</cp:lastModifiedBy>
  <cp:revision>1</cp:revision>
  <dcterms:created xsi:type="dcterms:W3CDTF">2026-08-05T14:52:00Z</dcterms:created>
  <dcterms:modified xsi:type="dcterms:W3CDTF">2026-08-05T13:43:00Z</dcterms:modified>
  <cp:category>Material profissional</cp:category>
  <cp:version>2.6</cp:version>
</cp:coreProperties>
</file>